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F82" w:rsidRDefault="000A0139" w:rsidP="000C0F82">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Аналитическая и</w:t>
      </w:r>
      <w:r w:rsidR="000C0F82" w:rsidRPr="000C0F82">
        <w:rPr>
          <w:rFonts w:ascii="Times New Roman" w:eastAsia="Calibri" w:hAnsi="Times New Roman" w:cs="Times New Roman"/>
          <w:b/>
          <w:sz w:val="28"/>
          <w:szCs w:val="28"/>
        </w:rPr>
        <w:t>нформация</w:t>
      </w:r>
    </w:p>
    <w:p w:rsidR="00E44C4A" w:rsidRDefault="000C0F82" w:rsidP="000C0F82">
      <w:pPr>
        <w:spacing w:after="0" w:line="240" w:lineRule="auto"/>
        <w:jc w:val="center"/>
        <w:rPr>
          <w:rFonts w:ascii="Times New Roman" w:eastAsia="Calibri" w:hAnsi="Times New Roman" w:cs="Times New Roman"/>
          <w:b/>
          <w:sz w:val="28"/>
          <w:szCs w:val="28"/>
        </w:rPr>
      </w:pPr>
      <w:r w:rsidRPr="000C0F82">
        <w:rPr>
          <w:rFonts w:ascii="Times New Roman" w:eastAsia="Calibri" w:hAnsi="Times New Roman" w:cs="Times New Roman"/>
          <w:b/>
          <w:sz w:val="28"/>
          <w:szCs w:val="28"/>
        </w:rPr>
        <w:t>по результатам анализа исполнения бюджетных полномочий орган</w:t>
      </w:r>
      <w:r w:rsidR="002A0F9F">
        <w:rPr>
          <w:rFonts w:ascii="Times New Roman" w:eastAsia="Calibri" w:hAnsi="Times New Roman" w:cs="Times New Roman"/>
          <w:b/>
          <w:sz w:val="28"/>
          <w:szCs w:val="28"/>
        </w:rPr>
        <w:t>ов</w:t>
      </w:r>
      <w:r w:rsidRPr="000C0F82">
        <w:rPr>
          <w:rFonts w:ascii="Times New Roman" w:eastAsia="Calibri" w:hAnsi="Times New Roman" w:cs="Times New Roman"/>
          <w:b/>
          <w:sz w:val="28"/>
          <w:szCs w:val="28"/>
        </w:rPr>
        <w:t xml:space="preserve">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E44C4A">
        <w:rPr>
          <w:rFonts w:ascii="Times New Roman" w:eastAsia="Calibri" w:hAnsi="Times New Roman" w:cs="Times New Roman"/>
          <w:b/>
          <w:sz w:val="28"/>
          <w:szCs w:val="28"/>
        </w:rPr>
        <w:t xml:space="preserve">, проведенного </w:t>
      </w:r>
    </w:p>
    <w:p w:rsidR="000C0F82" w:rsidRPr="000C0F82" w:rsidRDefault="00E44C4A" w:rsidP="000C0F82">
      <w:pPr>
        <w:spacing w:after="0" w:line="240" w:lineRule="auto"/>
        <w:jc w:val="center"/>
        <w:rPr>
          <w:rFonts w:ascii="Times New Roman" w:eastAsia="Calibri" w:hAnsi="Times New Roman" w:cs="Times New Roman"/>
          <w:b/>
          <w:sz w:val="28"/>
          <w:szCs w:val="28"/>
        </w:rPr>
      </w:pPr>
      <w:bookmarkStart w:id="0" w:name="_GoBack"/>
      <w:bookmarkEnd w:id="0"/>
      <w:r>
        <w:rPr>
          <w:rFonts w:ascii="Times New Roman" w:eastAsia="Calibri" w:hAnsi="Times New Roman" w:cs="Times New Roman"/>
          <w:b/>
          <w:sz w:val="28"/>
          <w:szCs w:val="28"/>
        </w:rPr>
        <w:t>УФК по Амурской области в 2025 году</w:t>
      </w:r>
    </w:p>
    <w:p w:rsidR="000C0F82" w:rsidRPr="000C0F82" w:rsidRDefault="000C0F82" w:rsidP="000C0F82">
      <w:pPr>
        <w:spacing w:after="0" w:line="240" w:lineRule="auto"/>
        <w:jc w:val="center"/>
        <w:rPr>
          <w:rFonts w:ascii="Times New Roman" w:eastAsia="Calibri" w:hAnsi="Times New Roman" w:cs="Times New Roman"/>
          <w:sz w:val="28"/>
          <w:szCs w:val="28"/>
        </w:rPr>
      </w:pP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 xml:space="preserve">В </w:t>
      </w:r>
      <w:r w:rsidRPr="000C0F82">
        <w:rPr>
          <w:rFonts w:ascii="Times New Roman" w:eastAsia="Times New Roman" w:hAnsi="Times New Roman" w:cs="Times New Roman"/>
          <w:sz w:val="28"/>
          <w:szCs w:val="28"/>
          <w:lang w:eastAsia="ru-RU"/>
        </w:rPr>
        <w:t>2025 году</w:t>
      </w:r>
      <w:r w:rsidRPr="000C0F82">
        <w:rPr>
          <w:rFonts w:ascii="Times New Roman" w:eastAsia="Calibri" w:hAnsi="Times New Roman" w:cs="Times New Roman"/>
          <w:sz w:val="28"/>
          <w:szCs w:val="28"/>
        </w:rPr>
        <w:t xml:space="preserve"> Управление осуществляло анализ исполнения бюджетных полномочий органов государственного (муниципального) финансового контроля (далее – Анализ, ОГ(М)ФК), являющихся органами исполнительной власти субъектов Российской Федерации (органами местных администраций).</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В целях организации проведения в 2025 году Анализа:</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в октябре 2024 года осуществлен мониторинг ОГ(М)ФК на территории Амурской области. По результатам мониторинга установлено, что по состоянию на 01.10.2024 на территории Амурской области действовало 37 ОГ(М)ФК, из них 1 орган государственного финансового контроля, 36 органов муниципального финансового контроля;</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 xml:space="preserve">в УФК по Амурской области был утвержден </w:t>
      </w:r>
      <w:r w:rsidRPr="000C0F82">
        <w:rPr>
          <w:rFonts w:ascii="Times New Roman" w:eastAsia="Times New Roman" w:hAnsi="Times New Roman" w:cs="Times New Roman"/>
          <w:sz w:val="28"/>
          <w:szCs w:val="28"/>
        </w:rPr>
        <w:t xml:space="preserve">16.12.2024 руководителем УФК по Амурской области и согласован с заместителем руководителя Казначейства России 18.12.2024 График проведения Управлением Федерального казначейства по Амурской области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w:t>
      </w:r>
      <w:r w:rsidRPr="000C0F82">
        <w:rPr>
          <w:rFonts w:ascii="Times New Roman" w:eastAsia="Times New Roman" w:hAnsi="Times New Roman" w:cs="Times New Roman"/>
          <w:color w:val="000000"/>
          <w:sz w:val="28"/>
          <w:szCs w:val="28"/>
        </w:rPr>
        <w:t>2025</w:t>
      </w:r>
      <w:r w:rsidRPr="000C0F82">
        <w:rPr>
          <w:rFonts w:ascii="Times New Roman" w:eastAsia="Times New Roman" w:hAnsi="Times New Roman" w:cs="Times New Roman"/>
          <w:sz w:val="28"/>
          <w:szCs w:val="28"/>
        </w:rPr>
        <w:t xml:space="preserve"> год (далее – График), в отношении 8 органов контроля.</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По состоянию на 01.01.2026 График исполнен в полном объеме и в установленные сроки, Анализ проведен в отношении 8 органов контроля:</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Администрация города Благовещенска;</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Муниципальное казенное учреждение Финансовое управление Администрации Белогорского муниципального округа;</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Учреждение Финансовый отдел городского округа поселка городского типа Прогресс;</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 xml:space="preserve">Финансовое управление Администрации </w:t>
      </w:r>
      <w:proofErr w:type="spellStart"/>
      <w:r w:rsidRPr="000C0F82">
        <w:rPr>
          <w:rFonts w:ascii="Times New Roman" w:eastAsia="Times New Roman" w:hAnsi="Times New Roman" w:cs="Times New Roman"/>
          <w:color w:val="000000"/>
          <w:sz w:val="28"/>
          <w:szCs w:val="28"/>
          <w:lang w:eastAsia="ru-RU"/>
        </w:rPr>
        <w:t>Архаринского</w:t>
      </w:r>
      <w:proofErr w:type="spellEnd"/>
      <w:r w:rsidRPr="000C0F82">
        <w:rPr>
          <w:rFonts w:ascii="Times New Roman" w:eastAsia="Times New Roman" w:hAnsi="Times New Roman" w:cs="Times New Roman"/>
          <w:color w:val="000000"/>
          <w:sz w:val="28"/>
          <w:szCs w:val="28"/>
          <w:lang w:eastAsia="ru-RU"/>
        </w:rPr>
        <w:t xml:space="preserve"> муниципального округа;</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 xml:space="preserve">Финансовое управление Администрации </w:t>
      </w:r>
      <w:proofErr w:type="spellStart"/>
      <w:r w:rsidRPr="000C0F82">
        <w:rPr>
          <w:rFonts w:ascii="Times New Roman" w:eastAsia="Times New Roman" w:hAnsi="Times New Roman" w:cs="Times New Roman"/>
          <w:color w:val="000000"/>
          <w:sz w:val="28"/>
          <w:szCs w:val="28"/>
          <w:lang w:eastAsia="ru-RU"/>
        </w:rPr>
        <w:t>Зейского</w:t>
      </w:r>
      <w:proofErr w:type="spellEnd"/>
      <w:r w:rsidRPr="000C0F82">
        <w:rPr>
          <w:rFonts w:ascii="Times New Roman" w:eastAsia="Times New Roman" w:hAnsi="Times New Roman" w:cs="Times New Roman"/>
          <w:color w:val="000000"/>
          <w:sz w:val="28"/>
          <w:szCs w:val="28"/>
          <w:lang w:eastAsia="ru-RU"/>
        </w:rPr>
        <w:t xml:space="preserve"> муниципального округа;</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 xml:space="preserve">Финансовое управление Администрации </w:t>
      </w:r>
      <w:proofErr w:type="spellStart"/>
      <w:r w:rsidRPr="000C0F82">
        <w:rPr>
          <w:rFonts w:ascii="Times New Roman" w:eastAsia="Times New Roman" w:hAnsi="Times New Roman" w:cs="Times New Roman"/>
          <w:color w:val="000000"/>
          <w:sz w:val="28"/>
          <w:szCs w:val="28"/>
          <w:lang w:eastAsia="ru-RU"/>
        </w:rPr>
        <w:t>Свободненского</w:t>
      </w:r>
      <w:proofErr w:type="spellEnd"/>
      <w:r w:rsidRPr="000C0F82">
        <w:rPr>
          <w:rFonts w:ascii="Times New Roman" w:eastAsia="Times New Roman" w:hAnsi="Times New Roman" w:cs="Times New Roman"/>
          <w:color w:val="000000"/>
          <w:sz w:val="28"/>
          <w:szCs w:val="28"/>
          <w:lang w:eastAsia="ru-RU"/>
        </w:rPr>
        <w:t xml:space="preserve"> района.</w:t>
      </w:r>
    </w:p>
    <w:p w:rsidR="000C0F82" w:rsidRPr="000C0F82" w:rsidRDefault="000C0F82" w:rsidP="000C0F82">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 xml:space="preserve">Финансовое управление Администрации </w:t>
      </w:r>
      <w:proofErr w:type="spellStart"/>
      <w:r w:rsidRPr="000C0F82">
        <w:rPr>
          <w:rFonts w:ascii="Times New Roman" w:eastAsia="Times New Roman" w:hAnsi="Times New Roman" w:cs="Times New Roman"/>
          <w:color w:val="000000"/>
          <w:sz w:val="28"/>
          <w:szCs w:val="28"/>
          <w:lang w:eastAsia="ru-RU"/>
        </w:rPr>
        <w:t>Сковородинского</w:t>
      </w:r>
      <w:proofErr w:type="spellEnd"/>
      <w:r w:rsidRPr="000C0F82">
        <w:rPr>
          <w:rFonts w:ascii="Times New Roman" w:eastAsia="Times New Roman" w:hAnsi="Times New Roman" w:cs="Times New Roman"/>
          <w:color w:val="000000"/>
          <w:sz w:val="28"/>
          <w:szCs w:val="28"/>
          <w:lang w:eastAsia="ru-RU"/>
        </w:rPr>
        <w:t xml:space="preserve"> муниципального округа;</w:t>
      </w:r>
    </w:p>
    <w:p w:rsidR="000C0F82" w:rsidRPr="000C0F82" w:rsidRDefault="000C0F82" w:rsidP="000274FA">
      <w:pPr>
        <w:spacing w:after="0" w:line="240" w:lineRule="auto"/>
        <w:ind w:firstLine="709"/>
        <w:jc w:val="both"/>
        <w:rPr>
          <w:rFonts w:ascii="Times New Roman" w:eastAsia="Times New Roman" w:hAnsi="Times New Roman" w:cs="Times New Roman"/>
          <w:color w:val="000000"/>
          <w:sz w:val="28"/>
          <w:szCs w:val="28"/>
          <w:lang w:eastAsia="ru-RU"/>
        </w:rPr>
      </w:pPr>
      <w:r w:rsidRPr="000C0F82">
        <w:rPr>
          <w:rFonts w:ascii="Times New Roman" w:eastAsia="Times New Roman" w:hAnsi="Times New Roman" w:cs="Times New Roman"/>
          <w:color w:val="000000"/>
          <w:sz w:val="28"/>
          <w:szCs w:val="28"/>
          <w:lang w:eastAsia="ru-RU"/>
        </w:rPr>
        <w:t xml:space="preserve">Финансовый отдел Администрации </w:t>
      </w:r>
      <w:proofErr w:type="spellStart"/>
      <w:r w:rsidRPr="000C0F82">
        <w:rPr>
          <w:rFonts w:ascii="Times New Roman" w:eastAsia="Times New Roman" w:hAnsi="Times New Roman" w:cs="Times New Roman"/>
          <w:color w:val="000000"/>
          <w:sz w:val="28"/>
          <w:szCs w:val="28"/>
          <w:lang w:eastAsia="ru-RU"/>
        </w:rPr>
        <w:t>Ромненского</w:t>
      </w:r>
      <w:proofErr w:type="spellEnd"/>
      <w:r w:rsidRPr="000C0F82">
        <w:rPr>
          <w:rFonts w:ascii="Times New Roman" w:eastAsia="Times New Roman" w:hAnsi="Times New Roman" w:cs="Times New Roman"/>
          <w:color w:val="000000"/>
          <w:sz w:val="28"/>
          <w:szCs w:val="28"/>
          <w:lang w:eastAsia="ru-RU"/>
        </w:rPr>
        <w:t xml:space="preserve"> муниципального округа Амурской области;</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C0F82">
        <w:rPr>
          <w:rFonts w:ascii="Times New Roman" w:eastAsia="Calibri" w:hAnsi="Times New Roman" w:cs="Times New Roman"/>
          <w:bCs/>
          <w:sz w:val="28"/>
          <w:szCs w:val="28"/>
        </w:rPr>
        <w:t xml:space="preserve">Результаты проведенного Анализа приведены </w:t>
      </w:r>
      <w:r w:rsidRPr="000C0F82">
        <w:rPr>
          <w:rFonts w:ascii="Times New Roman" w:eastAsia="Times New Roman" w:hAnsi="Times New Roman" w:cs="Times New Roman"/>
          <w:sz w:val="28"/>
          <w:szCs w:val="28"/>
          <w:lang w:eastAsia="ru-RU"/>
        </w:rPr>
        <w:t>в Таблице № 1.</w:t>
      </w:r>
    </w:p>
    <w:p w:rsidR="000C0F82" w:rsidRDefault="000C0F82" w:rsidP="000C0F82">
      <w:pPr>
        <w:spacing w:after="0" w:line="240" w:lineRule="auto"/>
        <w:jc w:val="right"/>
        <w:rPr>
          <w:rFonts w:ascii="Times New Roman" w:eastAsia="Times New Roman" w:hAnsi="Times New Roman" w:cs="Times New Roman"/>
          <w:i/>
          <w:sz w:val="24"/>
          <w:szCs w:val="24"/>
          <w:lang w:eastAsia="ru-RU"/>
        </w:rPr>
      </w:pPr>
    </w:p>
    <w:p w:rsidR="000C0F82" w:rsidRDefault="000C0F82" w:rsidP="000C0F82">
      <w:pPr>
        <w:spacing w:after="0" w:line="240" w:lineRule="auto"/>
        <w:jc w:val="right"/>
        <w:rPr>
          <w:rFonts w:ascii="Times New Roman" w:eastAsia="Times New Roman" w:hAnsi="Times New Roman" w:cs="Times New Roman"/>
          <w:i/>
          <w:sz w:val="24"/>
          <w:szCs w:val="24"/>
          <w:lang w:eastAsia="ru-RU"/>
        </w:rPr>
      </w:pPr>
    </w:p>
    <w:p w:rsidR="000274FA" w:rsidRDefault="000274FA" w:rsidP="000C0F82">
      <w:pPr>
        <w:spacing w:after="0" w:line="240" w:lineRule="auto"/>
        <w:jc w:val="right"/>
        <w:rPr>
          <w:rFonts w:ascii="Times New Roman" w:eastAsia="Times New Roman" w:hAnsi="Times New Roman" w:cs="Times New Roman"/>
          <w:i/>
          <w:sz w:val="24"/>
          <w:szCs w:val="24"/>
          <w:lang w:eastAsia="ru-RU"/>
        </w:rPr>
      </w:pPr>
    </w:p>
    <w:p w:rsidR="000274FA" w:rsidRPr="000C0F82" w:rsidRDefault="000274FA" w:rsidP="000C0F82">
      <w:pPr>
        <w:spacing w:after="0" w:line="240" w:lineRule="auto"/>
        <w:jc w:val="right"/>
        <w:rPr>
          <w:rFonts w:ascii="Times New Roman" w:eastAsia="Times New Roman" w:hAnsi="Times New Roman" w:cs="Times New Roman"/>
          <w:i/>
          <w:sz w:val="24"/>
          <w:szCs w:val="24"/>
          <w:lang w:eastAsia="ru-RU"/>
        </w:rPr>
      </w:pPr>
    </w:p>
    <w:p w:rsidR="000C0F82" w:rsidRPr="000C0F82" w:rsidRDefault="000C0F82" w:rsidP="000C0F82">
      <w:pPr>
        <w:spacing w:after="0" w:line="240" w:lineRule="auto"/>
        <w:jc w:val="right"/>
        <w:rPr>
          <w:rFonts w:ascii="Times New Roman" w:eastAsia="Times New Roman" w:hAnsi="Times New Roman" w:cs="Times New Roman"/>
          <w:i/>
          <w:sz w:val="24"/>
          <w:szCs w:val="24"/>
          <w:lang w:eastAsia="ru-RU"/>
        </w:rPr>
      </w:pPr>
      <w:r w:rsidRPr="000C0F82">
        <w:rPr>
          <w:rFonts w:ascii="Times New Roman" w:eastAsia="Times New Roman" w:hAnsi="Times New Roman" w:cs="Times New Roman"/>
          <w:i/>
          <w:sz w:val="24"/>
          <w:szCs w:val="24"/>
          <w:lang w:eastAsia="ru-RU"/>
        </w:rPr>
        <w:t>Таблица № 1</w:t>
      </w:r>
    </w:p>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C0F82">
        <w:rPr>
          <w:rFonts w:ascii="Times New Roman" w:eastAsia="Calibri" w:hAnsi="Times New Roman" w:cs="Times New Roman"/>
          <w:color w:val="333333"/>
          <w:sz w:val="28"/>
          <w:szCs w:val="28"/>
          <w:shd w:val="clear" w:color="auto" w:fill="FEFEFE"/>
        </w:rPr>
        <w:t xml:space="preserve">Структура типовых недостатков </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bCs/>
          <w:sz w:val="20"/>
          <w:szCs w:val="20"/>
        </w:rPr>
      </w:pPr>
    </w:p>
    <w:tbl>
      <w:tblPr>
        <w:tblStyle w:val="a3"/>
        <w:tblW w:w="5000" w:type="pct"/>
        <w:tblLook w:val="04A0" w:firstRow="1" w:lastRow="0" w:firstColumn="1" w:lastColumn="0" w:noHBand="0" w:noVBand="1"/>
      </w:tblPr>
      <w:tblGrid>
        <w:gridCol w:w="560"/>
        <w:gridCol w:w="3585"/>
        <w:gridCol w:w="2133"/>
        <w:gridCol w:w="1881"/>
        <w:gridCol w:w="1186"/>
      </w:tblGrid>
      <w:tr w:rsidR="000C0F82" w:rsidRPr="000C0F82" w:rsidTr="007C6ADD">
        <w:tc>
          <w:tcPr>
            <w:tcW w:w="308" w:type="pct"/>
            <w:vMerge w:val="restar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 п/п</w:t>
            </w:r>
          </w:p>
        </w:tc>
        <w:tc>
          <w:tcPr>
            <w:tcW w:w="1946" w:type="pct"/>
            <w:vMerge w:val="restar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ОГ(М)ФК</w:t>
            </w:r>
          </w:p>
        </w:tc>
        <w:tc>
          <w:tcPr>
            <w:tcW w:w="2746" w:type="pct"/>
            <w:gridSpan w:val="3"/>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Типовые недостатки</w:t>
            </w:r>
          </w:p>
        </w:tc>
      </w:tr>
      <w:tr w:rsidR="000C0F82" w:rsidRPr="000C0F82" w:rsidTr="007C6ADD">
        <w:tc>
          <w:tcPr>
            <w:tcW w:w="308" w:type="pct"/>
            <w:vMerge/>
          </w:tcPr>
          <w:p w:rsidR="000C0F82" w:rsidRPr="000C0F82" w:rsidRDefault="000C0F82" w:rsidP="000C0F82">
            <w:pPr>
              <w:widowControl w:val="0"/>
              <w:autoSpaceDE w:val="0"/>
              <w:autoSpaceDN w:val="0"/>
              <w:adjustRightInd w:val="0"/>
              <w:jc w:val="center"/>
              <w:rPr>
                <w:rFonts w:eastAsia="Calibri"/>
                <w:b/>
                <w:bCs/>
                <w:sz w:val="24"/>
                <w:szCs w:val="24"/>
              </w:rPr>
            </w:pPr>
          </w:p>
        </w:tc>
        <w:tc>
          <w:tcPr>
            <w:tcW w:w="1946" w:type="pct"/>
            <w:vMerge/>
          </w:tcPr>
          <w:p w:rsidR="000C0F82" w:rsidRPr="000C0F82" w:rsidRDefault="000C0F82" w:rsidP="000C0F82">
            <w:pPr>
              <w:widowControl w:val="0"/>
              <w:autoSpaceDE w:val="0"/>
              <w:autoSpaceDN w:val="0"/>
              <w:adjustRightInd w:val="0"/>
              <w:jc w:val="center"/>
              <w:rPr>
                <w:rFonts w:eastAsia="Calibri"/>
                <w:b/>
                <w:bCs/>
                <w:sz w:val="24"/>
                <w:szCs w:val="24"/>
              </w:rPr>
            </w:pPr>
          </w:p>
        </w:tc>
        <w:tc>
          <w:tcPr>
            <w:tcW w:w="1159" w:type="pct"/>
            <w:vMerge w:val="restar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В количественном выражении</w:t>
            </w:r>
          </w:p>
        </w:tc>
        <w:tc>
          <w:tcPr>
            <w:tcW w:w="1587" w:type="pct"/>
            <w:gridSpan w:val="2"/>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В факте</w:t>
            </w:r>
          </w:p>
        </w:tc>
      </w:tr>
      <w:tr w:rsidR="000C0F82" w:rsidRPr="000C0F82" w:rsidTr="007C6ADD">
        <w:tc>
          <w:tcPr>
            <w:tcW w:w="308" w:type="pct"/>
            <w:vMerge/>
          </w:tcPr>
          <w:p w:rsidR="000C0F82" w:rsidRPr="000C0F82" w:rsidRDefault="000C0F82" w:rsidP="000C0F82">
            <w:pPr>
              <w:widowControl w:val="0"/>
              <w:autoSpaceDE w:val="0"/>
              <w:autoSpaceDN w:val="0"/>
              <w:adjustRightInd w:val="0"/>
              <w:jc w:val="center"/>
              <w:rPr>
                <w:rFonts w:eastAsia="Calibri"/>
                <w:b/>
                <w:bCs/>
                <w:sz w:val="24"/>
                <w:szCs w:val="24"/>
              </w:rPr>
            </w:pPr>
          </w:p>
        </w:tc>
        <w:tc>
          <w:tcPr>
            <w:tcW w:w="1946" w:type="pct"/>
            <w:vMerge/>
          </w:tcPr>
          <w:p w:rsidR="000C0F82" w:rsidRPr="000C0F82" w:rsidRDefault="000C0F82" w:rsidP="000C0F82">
            <w:pPr>
              <w:widowControl w:val="0"/>
              <w:autoSpaceDE w:val="0"/>
              <w:autoSpaceDN w:val="0"/>
              <w:adjustRightInd w:val="0"/>
              <w:jc w:val="center"/>
              <w:rPr>
                <w:rFonts w:eastAsia="Calibri"/>
                <w:b/>
                <w:bCs/>
                <w:sz w:val="24"/>
                <w:szCs w:val="24"/>
              </w:rPr>
            </w:pPr>
          </w:p>
        </w:tc>
        <w:tc>
          <w:tcPr>
            <w:tcW w:w="1159" w:type="pct"/>
            <w:vMerge/>
          </w:tcPr>
          <w:p w:rsidR="000C0F82" w:rsidRPr="000C0F82" w:rsidRDefault="000C0F82" w:rsidP="000C0F82">
            <w:pPr>
              <w:widowControl w:val="0"/>
              <w:autoSpaceDE w:val="0"/>
              <w:autoSpaceDN w:val="0"/>
              <w:adjustRightInd w:val="0"/>
              <w:jc w:val="center"/>
              <w:rPr>
                <w:rFonts w:eastAsia="Calibri"/>
                <w:b/>
                <w:bCs/>
                <w:sz w:val="24"/>
                <w:szCs w:val="24"/>
              </w:rPr>
            </w:pPr>
          </w:p>
        </w:tc>
        <w:tc>
          <w:tcPr>
            <w:tcW w:w="964" w:type="pc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По регламентации</w:t>
            </w:r>
          </w:p>
        </w:tc>
        <w:tc>
          <w:tcPr>
            <w:tcW w:w="623" w:type="pc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По процессу</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1</w:t>
            </w:r>
          </w:p>
        </w:tc>
        <w:tc>
          <w:tcPr>
            <w:tcW w:w="1946" w:type="pct"/>
          </w:tcPr>
          <w:p w:rsidR="000C0F82" w:rsidRPr="000C0F82" w:rsidRDefault="000C0F82" w:rsidP="000C0F82">
            <w:pPr>
              <w:widowControl w:val="0"/>
              <w:autoSpaceDE w:val="0"/>
              <w:autoSpaceDN w:val="0"/>
              <w:adjustRightInd w:val="0"/>
              <w:jc w:val="both"/>
              <w:rPr>
                <w:sz w:val="16"/>
                <w:szCs w:val="16"/>
              </w:rPr>
            </w:pPr>
            <w:r w:rsidRPr="000C0F82">
              <w:rPr>
                <w:sz w:val="16"/>
                <w:szCs w:val="16"/>
              </w:rPr>
              <w:t>АДМИНИСТРАЦИЯ ГОРОДА БЛАГОВЕЩЕНСКА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42</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9</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2</w:t>
            </w:r>
          </w:p>
        </w:tc>
        <w:tc>
          <w:tcPr>
            <w:tcW w:w="1946" w:type="pct"/>
          </w:tcPr>
          <w:p w:rsidR="000C0F82" w:rsidRPr="000C0F82" w:rsidRDefault="000C0F82" w:rsidP="000C0F82">
            <w:pPr>
              <w:widowControl w:val="0"/>
              <w:autoSpaceDE w:val="0"/>
              <w:autoSpaceDN w:val="0"/>
              <w:adjustRightInd w:val="0"/>
              <w:jc w:val="both"/>
              <w:rPr>
                <w:sz w:val="16"/>
                <w:szCs w:val="16"/>
              </w:rPr>
            </w:pPr>
            <w:r w:rsidRPr="000C0F82">
              <w:rPr>
                <w:sz w:val="16"/>
                <w:szCs w:val="16"/>
              </w:rPr>
              <w:t>МУНИЦИПАЛЬНОЕ КАЗЕННОЕ УЧРЕЖДЕНИЕ ФИНАНСОВОЕ УПРАВЛЕНИЕ АДМИНИСТРАЦИИ БЕЛОГОРСКОГО МУНИЦИПАЛЬНОГО ОКРУГА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11</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6</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5</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3</w:t>
            </w:r>
          </w:p>
        </w:tc>
        <w:tc>
          <w:tcPr>
            <w:tcW w:w="1946" w:type="pct"/>
          </w:tcPr>
          <w:p w:rsidR="000C0F82" w:rsidRPr="000C0F82" w:rsidRDefault="000C0F82" w:rsidP="000C0F82">
            <w:pPr>
              <w:widowControl w:val="0"/>
              <w:autoSpaceDE w:val="0"/>
              <w:autoSpaceDN w:val="0"/>
              <w:adjustRightInd w:val="0"/>
              <w:jc w:val="both"/>
              <w:rPr>
                <w:sz w:val="16"/>
                <w:szCs w:val="16"/>
              </w:rPr>
            </w:pPr>
            <w:r w:rsidRPr="000C0F82">
              <w:rPr>
                <w:sz w:val="16"/>
                <w:szCs w:val="16"/>
              </w:rPr>
              <w:t>УЧРЕЖДЕНИЕ ФИНАНСОВЫЙ ОТДЕЛ ГОРОДСКОГО ОКРУГА ПОСЕЛКА ГОРОДСКОГО ТИПА ПРОГРЕСС</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25</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7</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4</w:t>
            </w:r>
          </w:p>
        </w:tc>
        <w:tc>
          <w:tcPr>
            <w:tcW w:w="1946" w:type="pct"/>
          </w:tcPr>
          <w:p w:rsidR="000C0F82" w:rsidRPr="000C0F82" w:rsidRDefault="000C0F82" w:rsidP="000C0F82">
            <w:pPr>
              <w:widowControl w:val="0"/>
              <w:autoSpaceDE w:val="0"/>
              <w:autoSpaceDN w:val="0"/>
              <w:adjustRightInd w:val="0"/>
              <w:jc w:val="both"/>
              <w:rPr>
                <w:rFonts w:eastAsia="Calibri"/>
                <w:bCs/>
                <w:sz w:val="16"/>
                <w:szCs w:val="16"/>
              </w:rPr>
            </w:pPr>
            <w:r w:rsidRPr="000C0F82">
              <w:rPr>
                <w:sz w:val="16"/>
                <w:szCs w:val="16"/>
              </w:rPr>
              <w:t>ФИНАНСОВОЕ УПРАВЛЕНИЕ АДМИНИСТРАЦИИ АРХАРИНСКОГО МУНИЦИПАЛЬНОГО ОКРУГА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18</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7</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5</w:t>
            </w:r>
          </w:p>
        </w:tc>
        <w:tc>
          <w:tcPr>
            <w:tcW w:w="1946" w:type="pct"/>
          </w:tcPr>
          <w:p w:rsidR="000C0F82" w:rsidRPr="000C0F82" w:rsidRDefault="000C0F82" w:rsidP="000C0F82">
            <w:pPr>
              <w:widowControl w:val="0"/>
              <w:autoSpaceDE w:val="0"/>
              <w:autoSpaceDN w:val="0"/>
              <w:adjustRightInd w:val="0"/>
              <w:jc w:val="both"/>
              <w:rPr>
                <w:rFonts w:eastAsia="Calibri"/>
                <w:bCs/>
                <w:sz w:val="16"/>
                <w:szCs w:val="16"/>
              </w:rPr>
            </w:pPr>
            <w:r w:rsidRPr="000C0F82">
              <w:rPr>
                <w:sz w:val="16"/>
                <w:szCs w:val="16"/>
              </w:rPr>
              <w:t>ФИНАНСОВОЕ УПРАВЛЕНИЕ АДМИНИСТРАЦИИ ЗЕЙСКОГО МУНИЦИПАЛЬНОГО ОКРУГА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31</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9</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5</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6</w:t>
            </w:r>
          </w:p>
        </w:tc>
        <w:tc>
          <w:tcPr>
            <w:tcW w:w="1946" w:type="pct"/>
          </w:tcPr>
          <w:p w:rsidR="000C0F82" w:rsidRPr="000C0F82" w:rsidRDefault="000C0F82" w:rsidP="000C0F82">
            <w:pPr>
              <w:widowControl w:val="0"/>
              <w:autoSpaceDE w:val="0"/>
              <w:autoSpaceDN w:val="0"/>
              <w:adjustRightInd w:val="0"/>
              <w:jc w:val="both"/>
              <w:rPr>
                <w:rFonts w:eastAsia="Calibri"/>
                <w:bCs/>
                <w:sz w:val="16"/>
                <w:szCs w:val="16"/>
              </w:rPr>
            </w:pPr>
            <w:r w:rsidRPr="000C0F82">
              <w:rPr>
                <w:sz w:val="16"/>
                <w:szCs w:val="16"/>
              </w:rPr>
              <w:t>ФИНАНСОВОЕ УПРАВЛЕНИЕ АДМИНИСТРАЦИИ СВОБОДНЕНСКОГО РАЙОНА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25</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7</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7</w:t>
            </w:r>
          </w:p>
        </w:tc>
        <w:tc>
          <w:tcPr>
            <w:tcW w:w="1946" w:type="pct"/>
          </w:tcPr>
          <w:p w:rsidR="000C0F82" w:rsidRPr="000C0F82" w:rsidRDefault="000C0F82" w:rsidP="000C0F82">
            <w:pPr>
              <w:widowControl w:val="0"/>
              <w:autoSpaceDE w:val="0"/>
              <w:autoSpaceDN w:val="0"/>
              <w:adjustRightInd w:val="0"/>
              <w:jc w:val="both"/>
              <w:rPr>
                <w:rFonts w:eastAsia="Calibri"/>
                <w:bCs/>
                <w:sz w:val="16"/>
                <w:szCs w:val="16"/>
              </w:rPr>
            </w:pPr>
            <w:r w:rsidRPr="000C0F82">
              <w:rPr>
                <w:sz w:val="16"/>
                <w:szCs w:val="16"/>
              </w:rPr>
              <w:t>ФИНАНСОВОЕ УПРАВЛЕНИЕ АДМИНИСТРАЦИИ СКОВОРОДИНСКОГО МУНИЦИПАЛЬНОГО ОКРУГА</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30</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11</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7</w:t>
            </w:r>
          </w:p>
        </w:tc>
      </w:tr>
      <w:tr w:rsidR="000C0F82" w:rsidRPr="000C0F82" w:rsidTr="007C6ADD">
        <w:tc>
          <w:tcPr>
            <w:tcW w:w="308" w:type="pct"/>
          </w:tcPr>
          <w:p w:rsidR="000C0F82" w:rsidRPr="000C0F82" w:rsidRDefault="000C0F82" w:rsidP="000C0F82">
            <w:pPr>
              <w:widowControl w:val="0"/>
              <w:autoSpaceDE w:val="0"/>
              <w:autoSpaceDN w:val="0"/>
              <w:adjustRightInd w:val="0"/>
              <w:jc w:val="both"/>
              <w:rPr>
                <w:sz w:val="24"/>
                <w:szCs w:val="24"/>
              </w:rPr>
            </w:pPr>
            <w:r w:rsidRPr="000C0F82">
              <w:rPr>
                <w:sz w:val="24"/>
                <w:szCs w:val="24"/>
              </w:rPr>
              <w:t>8</w:t>
            </w:r>
          </w:p>
        </w:tc>
        <w:tc>
          <w:tcPr>
            <w:tcW w:w="1946" w:type="pct"/>
          </w:tcPr>
          <w:p w:rsidR="000C0F82" w:rsidRPr="000C0F82" w:rsidRDefault="000C0F82" w:rsidP="000C0F82">
            <w:pPr>
              <w:widowControl w:val="0"/>
              <w:autoSpaceDE w:val="0"/>
              <w:autoSpaceDN w:val="0"/>
              <w:adjustRightInd w:val="0"/>
              <w:jc w:val="both"/>
              <w:rPr>
                <w:rFonts w:eastAsia="Calibri"/>
                <w:bCs/>
                <w:sz w:val="16"/>
                <w:szCs w:val="16"/>
              </w:rPr>
            </w:pPr>
            <w:r w:rsidRPr="000C0F82">
              <w:rPr>
                <w:sz w:val="16"/>
                <w:szCs w:val="16"/>
              </w:rPr>
              <w:t>ФИНАНСОВЫЙ ОТДЕЛ АДМИНИСТРАЦИИ РОМНЕНСКОГО МУНИЦИПАЛЬНОГО ОКРУГА АМУРСКОЙ ОБЛАСТИ</w:t>
            </w:r>
          </w:p>
        </w:tc>
        <w:tc>
          <w:tcPr>
            <w:tcW w:w="1159"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34</w:t>
            </w:r>
          </w:p>
        </w:tc>
        <w:tc>
          <w:tcPr>
            <w:tcW w:w="964"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8</w:t>
            </w:r>
          </w:p>
        </w:tc>
        <w:tc>
          <w:tcPr>
            <w:tcW w:w="623" w:type="pct"/>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5</w:t>
            </w:r>
          </w:p>
        </w:tc>
      </w:tr>
      <w:tr w:rsidR="000C0F82" w:rsidRPr="000C0F82" w:rsidTr="007C6ADD">
        <w:tc>
          <w:tcPr>
            <w:tcW w:w="2254" w:type="pct"/>
            <w:gridSpan w:val="2"/>
          </w:tcPr>
          <w:p w:rsidR="000C0F82" w:rsidRPr="000C0F82" w:rsidRDefault="000C0F82" w:rsidP="000C0F82">
            <w:pPr>
              <w:widowControl w:val="0"/>
              <w:autoSpaceDE w:val="0"/>
              <w:autoSpaceDN w:val="0"/>
              <w:adjustRightInd w:val="0"/>
              <w:jc w:val="center"/>
              <w:rPr>
                <w:b/>
                <w:sz w:val="24"/>
                <w:szCs w:val="24"/>
              </w:rPr>
            </w:pPr>
            <w:r w:rsidRPr="000C0F82">
              <w:rPr>
                <w:b/>
                <w:sz w:val="24"/>
                <w:szCs w:val="24"/>
              </w:rPr>
              <w:t>ИТОГО</w:t>
            </w:r>
          </w:p>
        </w:tc>
        <w:tc>
          <w:tcPr>
            <w:tcW w:w="1159" w:type="pc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216</w:t>
            </w:r>
          </w:p>
        </w:tc>
        <w:tc>
          <w:tcPr>
            <w:tcW w:w="964" w:type="pc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14</w:t>
            </w:r>
          </w:p>
        </w:tc>
        <w:tc>
          <w:tcPr>
            <w:tcW w:w="623" w:type="pct"/>
          </w:tcPr>
          <w:p w:rsidR="000C0F82" w:rsidRPr="000C0F82" w:rsidRDefault="000C0F82" w:rsidP="000C0F82">
            <w:pPr>
              <w:widowControl w:val="0"/>
              <w:autoSpaceDE w:val="0"/>
              <w:autoSpaceDN w:val="0"/>
              <w:adjustRightInd w:val="0"/>
              <w:jc w:val="center"/>
              <w:rPr>
                <w:rFonts w:eastAsia="Calibri"/>
                <w:b/>
                <w:bCs/>
                <w:sz w:val="24"/>
                <w:szCs w:val="24"/>
              </w:rPr>
            </w:pPr>
            <w:r w:rsidRPr="000C0F82">
              <w:rPr>
                <w:rFonts w:eastAsia="Calibri"/>
                <w:b/>
                <w:bCs/>
                <w:sz w:val="24"/>
                <w:szCs w:val="24"/>
              </w:rPr>
              <w:t>8</w:t>
            </w:r>
          </w:p>
        </w:tc>
      </w:tr>
    </w:tbl>
    <w:p w:rsidR="000C0F82" w:rsidRPr="000C0F82" w:rsidRDefault="000C0F82" w:rsidP="000C0F82">
      <w:pPr>
        <w:spacing w:after="0" w:line="240" w:lineRule="auto"/>
        <w:jc w:val="center"/>
        <w:rPr>
          <w:rFonts w:ascii="Times New Roman" w:eastAsia="Calibri" w:hAnsi="Times New Roman" w:cs="Times New Roman"/>
          <w:color w:val="333333"/>
          <w:sz w:val="24"/>
          <w:szCs w:val="24"/>
          <w:shd w:val="clear" w:color="auto" w:fill="FEFEFE"/>
        </w:rPr>
      </w:pPr>
    </w:p>
    <w:p w:rsidR="000274FA" w:rsidRDefault="000274FA" w:rsidP="000C0F82">
      <w:pPr>
        <w:spacing w:after="0" w:line="240" w:lineRule="auto"/>
        <w:ind w:firstLine="709"/>
        <w:jc w:val="both"/>
        <w:rPr>
          <w:rFonts w:ascii="Times New Roman" w:eastAsia="Calibri" w:hAnsi="Times New Roman" w:cs="Times New Roman"/>
          <w:color w:val="333333"/>
          <w:sz w:val="28"/>
          <w:szCs w:val="28"/>
          <w:shd w:val="clear" w:color="auto" w:fill="FEFEFE"/>
        </w:rPr>
      </w:pPr>
    </w:p>
    <w:p w:rsidR="000C0F82" w:rsidRPr="000C0F82" w:rsidRDefault="000C0F82" w:rsidP="000C0F82">
      <w:pPr>
        <w:spacing w:after="0" w:line="240" w:lineRule="auto"/>
        <w:ind w:firstLine="709"/>
        <w:jc w:val="both"/>
        <w:rPr>
          <w:rFonts w:ascii="Times New Roman" w:eastAsia="Times New Roman" w:hAnsi="Times New Roman" w:cs="Times New Roman"/>
          <w:sz w:val="28"/>
          <w:szCs w:val="28"/>
          <w:lang w:eastAsia="ru-RU"/>
        </w:rPr>
      </w:pPr>
      <w:r w:rsidRPr="000C0F82">
        <w:rPr>
          <w:rFonts w:ascii="Times New Roman" w:eastAsia="Calibri" w:hAnsi="Times New Roman" w:cs="Times New Roman"/>
          <w:color w:val="333333"/>
          <w:sz w:val="28"/>
          <w:szCs w:val="28"/>
          <w:shd w:val="clear" w:color="auto" w:fill="FEFEFE"/>
        </w:rPr>
        <w:t xml:space="preserve">Структура типовых недостатков (в разрезе регламентации), выявленных по результатам анализа ИБП ОГ(М)ФК, </w:t>
      </w:r>
      <w:r w:rsidRPr="000C0F82">
        <w:rPr>
          <w:rFonts w:ascii="Times New Roman" w:eastAsia="Times New Roman" w:hAnsi="Times New Roman" w:cs="Times New Roman"/>
          <w:sz w:val="28"/>
          <w:szCs w:val="28"/>
          <w:lang w:eastAsia="ru-RU"/>
        </w:rPr>
        <w:t>приведена в Таблице № 2.</w:t>
      </w:r>
    </w:p>
    <w:p w:rsidR="000C0F82" w:rsidRDefault="000C0F82" w:rsidP="000C0F82">
      <w:pPr>
        <w:spacing w:after="0" w:line="240" w:lineRule="auto"/>
        <w:jc w:val="right"/>
        <w:rPr>
          <w:rFonts w:ascii="Times New Roman" w:eastAsia="Times New Roman" w:hAnsi="Times New Roman" w:cs="Times New Roman"/>
          <w:i/>
          <w:sz w:val="24"/>
          <w:szCs w:val="24"/>
          <w:lang w:eastAsia="ru-RU"/>
        </w:rPr>
      </w:pPr>
    </w:p>
    <w:p w:rsidR="000274FA" w:rsidRPr="000C0F82" w:rsidRDefault="000274FA" w:rsidP="000C0F82">
      <w:pPr>
        <w:spacing w:after="0" w:line="240" w:lineRule="auto"/>
        <w:jc w:val="right"/>
        <w:rPr>
          <w:rFonts w:ascii="Times New Roman" w:eastAsia="Times New Roman" w:hAnsi="Times New Roman" w:cs="Times New Roman"/>
          <w:i/>
          <w:sz w:val="24"/>
          <w:szCs w:val="24"/>
          <w:lang w:eastAsia="ru-RU"/>
        </w:rPr>
      </w:pPr>
    </w:p>
    <w:p w:rsidR="000C0F82" w:rsidRPr="000C0F82" w:rsidRDefault="000C0F82" w:rsidP="000C0F82">
      <w:pPr>
        <w:spacing w:after="0" w:line="240" w:lineRule="auto"/>
        <w:jc w:val="right"/>
        <w:rPr>
          <w:rFonts w:ascii="Times New Roman" w:eastAsia="Times New Roman" w:hAnsi="Times New Roman" w:cs="Times New Roman"/>
          <w:i/>
          <w:sz w:val="24"/>
          <w:szCs w:val="24"/>
          <w:lang w:eastAsia="ru-RU"/>
        </w:rPr>
      </w:pPr>
      <w:r w:rsidRPr="000C0F82">
        <w:rPr>
          <w:rFonts w:ascii="Times New Roman" w:eastAsia="Times New Roman" w:hAnsi="Times New Roman" w:cs="Times New Roman"/>
          <w:i/>
          <w:sz w:val="24"/>
          <w:szCs w:val="24"/>
          <w:lang w:eastAsia="ru-RU"/>
        </w:rPr>
        <w:t>Таблица № 2</w:t>
      </w:r>
    </w:p>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C0F82">
        <w:rPr>
          <w:rFonts w:ascii="Times New Roman" w:eastAsia="Calibri" w:hAnsi="Times New Roman" w:cs="Times New Roman"/>
          <w:color w:val="333333"/>
          <w:sz w:val="28"/>
          <w:szCs w:val="28"/>
          <w:shd w:val="clear" w:color="auto" w:fill="FEFEFE"/>
        </w:rPr>
        <w:t>Структура типовых недостатков в разрезе регламентации</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048"/>
        <w:gridCol w:w="1553"/>
        <w:gridCol w:w="1553"/>
        <w:gridCol w:w="1636"/>
      </w:tblGrid>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 п/п</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Типовой недостаток/регламентирующий документ</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недостатков</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недостатков (%)</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ОМФК, в которых установлены недостатки</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Бюджетного кодекса Российской Федерации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12</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5,55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5</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регламентации (сопровождения) контрольной деятельности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3</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1,39</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3</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"Принципы контрольной деятельности органов внутреннего государственного (муниципального) финансового контроля"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0,93</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lastRenderedPageBreak/>
              <w:t>4</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sz w:val="24"/>
                <w:szCs w:val="24"/>
                <w:lang w:eastAsia="ru-RU"/>
              </w:rPr>
              <w:t>Недостатки в части соблюдения положений ФС ВГ(М)ФК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13</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6,02</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6</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5</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"Планирование проверок, ревизий и обследований"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23</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10,65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7</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6</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"Проведение проверок, ревизий и обследований и оформление их результатов"</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77</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35,65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8</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7</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"Реализация результатов проверок, ревизий и обследований"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18</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8,33</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8</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8</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"Правила составления отчетности о результатах контрольной деятельности"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23</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10,65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6</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9</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Недостатки в части соблюдения положений ФС ВГ(М)ФК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0</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10</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форм документов, оформляемых ОГ(М)ФК</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31</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14,35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8</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11</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методических рекомендаций по составлению и представлению отчетности о результатах контрольной деятельности ОГ(М)ФК</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4</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1,85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12</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Правил ведения реестра жалоб, плановых и внеплановых проверок, принятых по ним решений и выданных предписаний, представлений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0,46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13</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 xml:space="preserve">Недостатки в части соблюдения </w:t>
            </w:r>
            <w:r w:rsidRPr="000C0F82">
              <w:rPr>
                <w:rFonts w:ascii="Times New Roman" w:eastAsia="Times New Roman" w:hAnsi="Times New Roman" w:cs="Times New Roman"/>
                <w:color w:val="333333"/>
                <w:sz w:val="24"/>
                <w:szCs w:val="24"/>
                <w:lang w:eastAsia="ru-RU"/>
              </w:rPr>
              <w:lastRenderedPageBreak/>
              <w:t>положений Кодекса Российской Федерации  об административных правонарушениях</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lastRenderedPageBreak/>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0</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14</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взаимодействия в рамках контрольной деятельности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0,46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15</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Недостатки в части соблюдения положений ведомственных стандартов</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0</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16</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color w:val="333333"/>
                <w:sz w:val="24"/>
                <w:szCs w:val="24"/>
                <w:lang w:eastAsia="ru-RU"/>
              </w:rPr>
              <w:t>Недостатки в части соблюдения положений федерального закона от 09.02.2009 г. № 8-ФЗ "Об обеспечении доступа к информации о деятельности государственных органов и органов местного самоуправления"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0,93</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17</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bCs/>
                <w:sz w:val="24"/>
                <w:szCs w:val="24"/>
              </w:rPr>
              <w:t>Недостатки в части соблюдения положений приказа Минфина России от 25.04.2023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6</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2,78</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6</w:t>
            </w:r>
          </w:p>
        </w:tc>
      </w:tr>
      <w:tr w:rsidR="000C0F82" w:rsidRPr="000C0F82" w:rsidTr="007C6ADD">
        <w:tc>
          <w:tcPr>
            <w:tcW w:w="560" w:type="dxa"/>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18</w:t>
            </w:r>
          </w:p>
        </w:tc>
        <w:tc>
          <w:tcPr>
            <w:tcW w:w="4898" w:type="dxa"/>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bCs/>
                <w:sz w:val="24"/>
                <w:szCs w:val="24"/>
              </w:rPr>
              <w:t>Иные недостатки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0</w:t>
            </w:r>
          </w:p>
        </w:tc>
      </w:tr>
      <w:tr w:rsidR="000C0F82" w:rsidRPr="000C0F82" w:rsidTr="007C6ADD">
        <w:tc>
          <w:tcPr>
            <w:tcW w:w="5458" w:type="dxa"/>
            <w:gridSpan w:val="2"/>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ИТОГО</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216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100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lang w:eastAsia="ru-RU"/>
              </w:rPr>
            </w:pPr>
          </w:p>
        </w:tc>
      </w:tr>
    </w:tbl>
    <w:p w:rsidR="000C0F82" w:rsidRPr="000C0F82" w:rsidRDefault="000C0F82" w:rsidP="000C0F82">
      <w:pPr>
        <w:spacing w:after="0" w:line="240" w:lineRule="auto"/>
        <w:ind w:firstLine="709"/>
        <w:jc w:val="both"/>
        <w:rPr>
          <w:rFonts w:ascii="Times New Roman" w:eastAsia="Calibri" w:hAnsi="Times New Roman" w:cs="Times New Roman"/>
          <w:color w:val="333333"/>
          <w:sz w:val="24"/>
          <w:szCs w:val="24"/>
          <w:shd w:val="clear" w:color="auto" w:fill="FEFEFE"/>
        </w:rPr>
      </w:pPr>
    </w:p>
    <w:p w:rsidR="000C0F82" w:rsidRPr="000C0F82" w:rsidRDefault="000C0F82" w:rsidP="000C0F82">
      <w:pPr>
        <w:spacing w:after="0" w:line="240" w:lineRule="auto"/>
        <w:ind w:firstLine="709"/>
        <w:jc w:val="both"/>
        <w:rPr>
          <w:rFonts w:ascii="Times New Roman" w:eastAsia="Times New Roman" w:hAnsi="Times New Roman" w:cs="Times New Roman"/>
          <w:sz w:val="28"/>
          <w:szCs w:val="28"/>
          <w:lang w:eastAsia="ru-RU"/>
        </w:rPr>
      </w:pPr>
      <w:r w:rsidRPr="000C0F82">
        <w:rPr>
          <w:rFonts w:ascii="Times New Roman" w:eastAsia="Calibri" w:hAnsi="Times New Roman" w:cs="Times New Roman"/>
          <w:color w:val="333333"/>
          <w:sz w:val="28"/>
          <w:szCs w:val="28"/>
          <w:shd w:val="clear" w:color="auto" w:fill="FEFEFE"/>
        </w:rPr>
        <w:t xml:space="preserve">Структура типовых недостатков (в разрезе процессов), выявленных по результатам анализа ИБП ОГ(М)ФК, </w:t>
      </w:r>
      <w:r w:rsidRPr="000C0F82">
        <w:rPr>
          <w:rFonts w:ascii="Times New Roman" w:eastAsia="Times New Roman" w:hAnsi="Times New Roman" w:cs="Times New Roman"/>
          <w:sz w:val="28"/>
          <w:szCs w:val="28"/>
          <w:lang w:eastAsia="ru-RU"/>
        </w:rPr>
        <w:t>приведена в Таблице № 3.</w:t>
      </w:r>
    </w:p>
    <w:p w:rsidR="000C0F82" w:rsidRPr="000C0F82" w:rsidRDefault="000C0F82" w:rsidP="000C0F82">
      <w:pPr>
        <w:spacing w:after="0" w:line="240" w:lineRule="auto"/>
        <w:jc w:val="right"/>
        <w:rPr>
          <w:rFonts w:ascii="Times New Roman" w:eastAsia="Times New Roman" w:hAnsi="Times New Roman" w:cs="Times New Roman"/>
          <w:i/>
          <w:sz w:val="24"/>
          <w:szCs w:val="24"/>
          <w:lang w:eastAsia="ru-RU"/>
        </w:rPr>
      </w:pPr>
    </w:p>
    <w:p w:rsidR="000C0F82" w:rsidRPr="000C0F82" w:rsidRDefault="000C0F82" w:rsidP="000C0F82">
      <w:pPr>
        <w:spacing w:after="0" w:line="240" w:lineRule="auto"/>
        <w:jc w:val="right"/>
        <w:rPr>
          <w:rFonts w:ascii="Times New Roman" w:eastAsia="Times New Roman" w:hAnsi="Times New Roman" w:cs="Times New Roman"/>
          <w:i/>
          <w:sz w:val="24"/>
          <w:szCs w:val="24"/>
          <w:lang w:eastAsia="ru-RU"/>
        </w:rPr>
      </w:pPr>
      <w:r w:rsidRPr="000C0F82">
        <w:rPr>
          <w:rFonts w:ascii="Times New Roman" w:eastAsia="Times New Roman" w:hAnsi="Times New Roman" w:cs="Times New Roman"/>
          <w:i/>
          <w:sz w:val="24"/>
          <w:szCs w:val="24"/>
          <w:lang w:eastAsia="ru-RU"/>
        </w:rPr>
        <w:t>Таблица № 3</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color w:val="333333"/>
          <w:sz w:val="28"/>
          <w:szCs w:val="28"/>
          <w:shd w:val="clear" w:color="auto" w:fill="FEFEFE"/>
        </w:rPr>
        <w:t>Структура типовых недостатков в разрезе процессов</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color w:val="333333"/>
          <w:sz w:val="20"/>
          <w:szCs w:val="20"/>
          <w:shd w:val="clear" w:color="auto" w:fill="FEFEF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976"/>
        <w:gridCol w:w="1562"/>
        <w:gridCol w:w="1567"/>
        <w:gridCol w:w="1682"/>
      </w:tblGrid>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 п/п</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Типовой недостаток/регламентирующий документ</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недостатков</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недостатков (%)</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b/>
                <w:color w:val="333333"/>
                <w:sz w:val="24"/>
                <w:szCs w:val="24"/>
                <w:lang w:eastAsia="ru-RU"/>
              </w:rPr>
            </w:pPr>
            <w:r w:rsidRPr="000C0F82">
              <w:rPr>
                <w:rFonts w:ascii="Times New Roman" w:eastAsia="Times New Roman" w:hAnsi="Times New Roman" w:cs="Times New Roman"/>
                <w:b/>
                <w:color w:val="333333"/>
                <w:sz w:val="24"/>
                <w:szCs w:val="24"/>
                <w:lang w:eastAsia="ru-RU"/>
              </w:rPr>
              <w:t>Кол-во ОМФК, в которых установлены недостатки</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в актах, регламентирующих деятельность органа контроля по внутреннему государственному (муниципальному) финансовому контролю</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13</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6,02</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4</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2</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Неисполнение полномочий органа контроля по осуществлению внутреннего государственного (муниципального) финансового контроля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0,46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1</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3</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 xml:space="preserve">Неисполнение принятых от иного </w:t>
            </w:r>
            <w:r w:rsidRPr="000C0F82">
              <w:rPr>
                <w:rFonts w:ascii="Times New Roman" w:eastAsia="Times New Roman" w:hAnsi="Times New Roman" w:cs="Times New Roman"/>
                <w:color w:val="333333"/>
                <w:sz w:val="24"/>
                <w:szCs w:val="24"/>
                <w:lang w:eastAsia="ru-RU"/>
              </w:rPr>
              <w:lastRenderedPageBreak/>
              <w:t>муниципального образования полномочий по осуществлению внутреннего муниципального финансового контроля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lastRenderedPageBreak/>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0</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4</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в части планирования контрольных мероприятий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26</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12,04</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7</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5</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в части проведения контрольных мероприятий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96</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44,44</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8</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в части реализации результатов контрольных мероприятий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44</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20,37</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8</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7</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sz w:val="24"/>
                <w:szCs w:val="24"/>
                <w:lang w:eastAsia="ru-RU"/>
              </w:rPr>
              <w:t xml:space="preserve">Недостатки, выявленные в части составления и представления отчетности о результатах исполнения бюджетных полномочий по внутреннему государственному (муниципальному) финансовому контролю (в </w:t>
            </w:r>
            <w:proofErr w:type="spellStart"/>
            <w:r w:rsidRPr="000C0F82">
              <w:rPr>
                <w:rFonts w:ascii="Times New Roman" w:eastAsia="Times New Roman" w:hAnsi="Times New Roman" w:cs="Times New Roman"/>
                <w:sz w:val="24"/>
                <w:szCs w:val="24"/>
                <w:lang w:eastAsia="ru-RU"/>
              </w:rPr>
              <w:t>т.ч</w:t>
            </w:r>
            <w:proofErr w:type="spellEnd"/>
            <w:r w:rsidRPr="000C0F82">
              <w:rPr>
                <w:rFonts w:ascii="Times New Roman" w:eastAsia="Times New Roman" w:hAnsi="Times New Roman" w:cs="Times New Roman"/>
                <w:sz w:val="24"/>
                <w:szCs w:val="24"/>
                <w:lang w:eastAsia="ru-RU"/>
              </w:rPr>
              <w:t>. н</w:t>
            </w:r>
            <w:r w:rsidRPr="000C0F82">
              <w:rPr>
                <w:rFonts w:ascii="Times New Roman" w:eastAsia="Times New Roman" w:hAnsi="Times New Roman" w:cs="Times New Roman"/>
                <w:bCs/>
                <w:sz w:val="24"/>
                <w:szCs w:val="24"/>
              </w:rPr>
              <w:t>едостатки в части соблюдения положений приказа Минфина России от 25.04.2023 № 55н</w:t>
            </w:r>
            <w:r w:rsidRPr="000C0F82">
              <w:rPr>
                <w:rFonts w:ascii="Times New Roman" w:eastAsia="Times New Roman" w:hAnsi="Times New Roman" w:cs="Times New Roman"/>
                <w:sz w:val="24"/>
                <w:szCs w:val="24"/>
                <w:lang w:eastAsia="ru-RU"/>
              </w:rPr>
              <w:t>)</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33 (6)</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15,28</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7 (6)</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8</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Недостатки, выявленные в части информационного взаимодействия с правоохранительными органами, исполнительными органами субъекта Российской Федерации (муниципального образования), контрольно-счетными органами субъекта Российской Федерации (муниципального образования)</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sz w:val="24"/>
                <w:szCs w:val="24"/>
                <w:lang w:eastAsia="ru-RU"/>
              </w:rPr>
            </w:pPr>
            <w:r w:rsidRPr="000C0F82">
              <w:rPr>
                <w:rFonts w:ascii="PT Sans" w:eastAsia="Times New Roman" w:hAnsi="PT Sans" w:cs="Times New Roman"/>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0</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9</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в части размещения информации в информационно-телекоммуникационной сети «Интернет»</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2</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0,93</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2</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lang w:eastAsia="ru-RU"/>
              </w:rPr>
              <w:t>Недостатки, выявленные при ведении реестра жалоб, плановых и внеплановых проверок, принятых по ним решений и выданных предписаний, представлений</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1</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0,46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1</w:t>
            </w:r>
          </w:p>
        </w:tc>
      </w:tr>
      <w:tr w:rsidR="000C0F82" w:rsidRPr="000C0F82" w:rsidTr="007C6ADD">
        <w:tc>
          <w:tcPr>
            <w:tcW w:w="0" w:type="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11</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Иные недостатки</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spacing w:after="0" w:line="240" w:lineRule="auto"/>
              <w:jc w:val="right"/>
              <w:rPr>
                <w:rFonts w:ascii="PT Sans" w:eastAsia="Times New Roman" w:hAnsi="PT Sans" w:cs="Times New Roman"/>
                <w:color w:val="333333"/>
                <w:sz w:val="24"/>
                <w:szCs w:val="24"/>
                <w:lang w:eastAsia="ru-RU"/>
              </w:rPr>
            </w:pPr>
            <w:r w:rsidRPr="000C0F82">
              <w:rPr>
                <w:rFonts w:ascii="PT Sans" w:eastAsia="Times New Roman" w:hAnsi="PT Sans" w:cs="Times New Roman"/>
                <w:color w:val="333333"/>
                <w:sz w:val="24"/>
                <w:szCs w:val="24"/>
                <w:lang w:eastAsia="ru-RU"/>
              </w:rPr>
              <w:t>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center"/>
              <w:rPr>
                <w:rFonts w:ascii="Times New Roman" w:eastAsia="Times New Roman" w:hAnsi="Times New Roman" w:cs="Times New Roman"/>
                <w:color w:val="333333"/>
                <w:sz w:val="24"/>
                <w:szCs w:val="24"/>
                <w:shd w:val="clear" w:color="auto" w:fill="FEFEFE"/>
              </w:rPr>
            </w:pPr>
            <w:r w:rsidRPr="000C0F82">
              <w:rPr>
                <w:rFonts w:ascii="Times New Roman" w:eastAsia="Times New Roman" w:hAnsi="Times New Roman" w:cs="Times New Roman"/>
                <w:color w:val="333333"/>
                <w:sz w:val="24"/>
                <w:szCs w:val="24"/>
                <w:shd w:val="clear" w:color="auto" w:fill="FEFEFE"/>
              </w:rPr>
              <w:t>0</w:t>
            </w:r>
          </w:p>
        </w:tc>
      </w:tr>
      <w:tr w:rsidR="000C0F82" w:rsidRPr="000C0F82" w:rsidTr="007C6ADD">
        <w:tc>
          <w:tcPr>
            <w:tcW w:w="0" w:type="auto"/>
            <w:gridSpan w:val="2"/>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shd w:val="clear" w:color="auto" w:fill="FEFEFE"/>
              </w:rPr>
            </w:pPr>
            <w:r w:rsidRPr="000C0F82">
              <w:rPr>
                <w:rFonts w:ascii="Times New Roman" w:eastAsia="Times New Roman" w:hAnsi="Times New Roman" w:cs="Times New Roman"/>
                <w:b/>
                <w:color w:val="333333"/>
                <w:sz w:val="24"/>
                <w:szCs w:val="24"/>
                <w:shd w:val="clear" w:color="auto" w:fill="FEFEFE"/>
              </w:rPr>
              <w:t>ИТОГО</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shd w:val="clear" w:color="auto" w:fill="FEFEFE"/>
              </w:rPr>
            </w:pPr>
            <w:r w:rsidRPr="000C0F82">
              <w:rPr>
                <w:rFonts w:ascii="Times New Roman" w:eastAsia="Times New Roman" w:hAnsi="Times New Roman" w:cs="Times New Roman"/>
                <w:b/>
                <w:color w:val="333333"/>
                <w:sz w:val="24"/>
                <w:szCs w:val="24"/>
                <w:shd w:val="clear" w:color="auto" w:fill="FEFEFE"/>
                <w:lang w:val="en-US"/>
              </w:rPr>
              <w:t>21</w:t>
            </w:r>
            <w:r w:rsidRPr="000C0F82">
              <w:rPr>
                <w:rFonts w:ascii="Times New Roman" w:eastAsia="Times New Roman" w:hAnsi="Times New Roman" w:cs="Times New Roman"/>
                <w:b/>
                <w:color w:val="333333"/>
                <w:sz w:val="24"/>
                <w:szCs w:val="24"/>
                <w:shd w:val="clear" w:color="auto" w:fill="FEFEFE"/>
              </w:rPr>
              <w:t>6</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shd w:val="clear" w:color="auto" w:fill="FEFEFE"/>
              </w:rPr>
            </w:pPr>
            <w:r w:rsidRPr="000C0F82">
              <w:rPr>
                <w:rFonts w:ascii="Times New Roman" w:eastAsia="Times New Roman" w:hAnsi="Times New Roman" w:cs="Times New Roman"/>
                <w:b/>
                <w:color w:val="333333"/>
                <w:sz w:val="24"/>
                <w:szCs w:val="24"/>
                <w:shd w:val="clear" w:color="auto" w:fill="FEFEFE"/>
              </w:rPr>
              <w:t>100</w:t>
            </w:r>
          </w:p>
        </w:tc>
        <w:tc>
          <w:tcPr>
            <w:tcW w:w="0" w:type="auto"/>
            <w:shd w:val="clear" w:color="auto" w:fill="auto"/>
          </w:tcPr>
          <w:p w:rsidR="000C0F82" w:rsidRPr="000C0F82" w:rsidRDefault="000C0F82" w:rsidP="000C0F82">
            <w:pPr>
              <w:widowControl w:val="0"/>
              <w:autoSpaceDE w:val="0"/>
              <w:autoSpaceDN w:val="0"/>
              <w:adjustRightInd w:val="0"/>
              <w:spacing w:after="0" w:line="240" w:lineRule="auto"/>
              <w:jc w:val="right"/>
              <w:rPr>
                <w:rFonts w:ascii="Times New Roman" w:eastAsia="Times New Roman" w:hAnsi="Times New Roman" w:cs="Times New Roman"/>
                <w:b/>
                <w:color w:val="333333"/>
                <w:sz w:val="24"/>
                <w:szCs w:val="24"/>
                <w:shd w:val="clear" w:color="auto" w:fill="FEFEFE"/>
              </w:rPr>
            </w:pPr>
          </w:p>
        </w:tc>
      </w:tr>
    </w:tbl>
    <w:p w:rsidR="000C0F82" w:rsidRPr="000C0F82" w:rsidRDefault="000C0F82" w:rsidP="000C0F82">
      <w:pPr>
        <w:keepLines/>
        <w:widowControl w:val="0"/>
        <w:shd w:val="clear" w:color="auto" w:fill="FEFEFE"/>
        <w:spacing w:after="0" w:line="240" w:lineRule="auto"/>
        <w:ind w:firstLine="709"/>
        <w:jc w:val="both"/>
        <w:outlineLvl w:val="2"/>
        <w:rPr>
          <w:rFonts w:ascii="Times New Roman" w:eastAsia="SimSun" w:hAnsi="Times New Roman" w:cs="Times New Roman"/>
          <w:sz w:val="24"/>
          <w:szCs w:val="24"/>
        </w:rPr>
      </w:pPr>
    </w:p>
    <w:p w:rsidR="000C0F82" w:rsidRPr="000C0F82" w:rsidRDefault="000C0F82" w:rsidP="000C0F82">
      <w:pPr>
        <w:keepLines/>
        <w:widowControl w:val="0"/>
        <w:shd w:val="clear" w:color="auto" w:fill="FEFEFE"/>
        <w:spacing w:after="0" w:line="240" w:lineRule="auto"/>
        <w:ind w:firstLine="709"/>
        <w:jc w:val="both"/>
        <w:outlineLvl w:val="2"/>
        <w:rPr>
          <w:rFonts w:ascii="Times New Roman" w:eastAsia="SimSun" w:hAnsi="Times New Roman" w:cs="Times New Roman"/>
          <w:sz w:val="28"/>
          <w:szCs w:val="28"/>
        </w:rPr>
      </w:pPr>
      <w:r w:rsidRPr="000C0F82">
        <w:rPr>
          <w:rFonts w:ascii="Times New Roman" w:eastAsia="SimSun" w:hAnsi="Times New Roman" w:cs="Times New Roman"/>
          <w:sz w:val="28"/>
          <w:szCs w:val="28"/>
        </w:rPr>
        <w:t>Динамика выявленных типовых недостатков в количественном выражении по регламентации в 2024-2025 годах показана на диаграмме 1.</w:t>
      </w:r>
    </w:p>
    <w:p w:rsidR="000C0F82" w:rsidRPr="000C0F82" w:rsidRDefault="000C0F82" w:rsidP="000C0F82">
      <w:pPr>
        <w:spacing w:after="0" w:line="240" w:lineRule="auto"/>
        <w:jc w:val="center"/>
        <w:rPr>
          <w:rFonts w:ascii="Calibri" w:eastAsia="Calibri" w:hAnsi="Calibri" w:cs="Times New Roman"/>
        </w:rPr>
      </w:pPr>
      <w:r w:rsidRPr="000C0F82">
        <w:rPr>
          <w:rFonts w:ascii="Calibri" w:eastAsia="Calibri" w:hAnsi="Calibri" w:cs="Times New Roman"/>
          <w:noProof/>
          <w:lang w:eastAsia="ru-RU"/>
        </w:rPr>
        <w:lastRenderedPageBreak/>
        <w:drawing>
          <wp:inline distT="0" distB="0" distL="0" distR="0" wp14:anchorId="5685B9E5" wp14:editId="63396A5E">
            <wp:extent cx="6316980" cy="4930140"/>
            <wp:effectExtent l="0" t="0" r="7620" b="381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0C0F82" w:rsidRPr="000C0F82" w:rsidRDefault="000C0F82" w:rsidP="000C0F82">
      <w:pPr>
        <w:spacing w:after="0" w:line="240" w:lineRule="auto"/>
        <w:jc w:val="center"/>
        <w:rPr>
          <w:rFonts w:ascii="Times New Roman" w:eastAsia="Calibri" w:hAnsi="Times New Roman" w:cs="Times New Roman"/>
          <w:i/>
          <w:sz w:val="24"/>
          <w:szCs w:val="24"/>
        </w:rPr>
      </w:pPr>
    </w:p>
    <w:p w:rsidR="000C0F82" w:rsidRPr="000C0F82" w:rsidRDefault="000C0F82" w:rsidP="000C0F82">
      <w:pPr>
        <w:spacing w:after="0" w:line="240" w:lineRule="auto"/>
        <w:jc w:val="center"/>
        <w:rPr>
          <w:rFonts w:ascii="Times New Roman" w:eastAsia="Calibri" w:hAnsi="Times New Roman" w:cs="Times New Roman"/>
          <w:i/>
          <w:sz w:val="24"/>
          <w:szCs w:val="24"/>
        </w:rPr>
      </w:pPr>
      <w:r w:rsidRPr="000C0F82">
        <w:rPr>
          <w:rFonts w:ascii="Times New Roman" w:eastAsia="Calibri" w:hAnsi="Times New Roman" w:cs="Times New Roman"/>
          <w:i/>
          <w:sz w:val="24"/>
          <w:szCs w:val="24"/>
        </w:rPr>
        <w:t>Диаграмма 1. – Динамика выявленных типовых недостатков в количественном выражении по регламентации в 2024 -2025 годах</w:t>
      </w:r>
    </w:p>
    <w:p w:rsidR="000C0F82" w:rsidRPr="000C0F82" w:rsidRDefault="000C0F82" w:rsidP="000C0F82">
      <w:pPr>
        <w:spacing w:after="0" w:line="240" w:lineRule="auto"/>
        <w:jc w:val="center"/>
        <w:rPr>
          <w:rFonts w:ascii="Times New Roman" w:eastAsia="Times New Roman" w:hAnsi="Times New Roman" w:cs="Times New Roman"/>
          <w:sz w:val="24"/>
          <w:szCs w:val="24"/>
          <w:lang w:eastAsia="ru-RU"/>
        </w:rPr>
      </w:pP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 Недостатки в части соблюдения положений Бюджетного кодекса Российской Федерации</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2. Недостатки в части регламентации (сопровождения) контрольной деятельности</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3. Недостатки в части соблюдения положений ФС ВГ(М)ФК "Принципы контрольной деятельности органов внутреннего государственного (муниципального) финансового контроля"</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4. Недостатки в части соблюдения положений ФС ВГ(М)ФК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0C0F82" w:rsidRPr="000C0F82" w:rsidRDefault="000C0F82" w:rsidP="000C0F82">
      <w:pPr>
        <w:spacing w:after="0" w:line="240" w:lineRule="auto"/>
        <w:jc w:val="both"/>
        <w:rPr>
          <w:rFonts w:ascii="Times New Roman" w:eastAsia="Times New Roman" w:hAnsi="Times New Roman" w:cs="Times New Roman"/>
          <w:vanish/>
          <w:sz w:val="24"/>
          <w:szCs w:val="24"/>
          <w:lang w:eastAsia="ru-RU"/>
        </w:rPr>
      </w:pPr>
      <w:r w:rsidRPr="000C0F82">
        <w:rPr>
          <w:rFonts w:ascii="Times New Roman" w:eastAsia="Times New Roman" w:hAnsi="Times New Roman" w:cs="Times New Roman"/>
          <w:sz w:val="24"/>
          <w:szCs w:val="24"/>
          <w:lang w:eastAsia="ru-RU"/>
        </w:rPr>
        <w:t>5. Недостатки в части соблюдения положений ФС ВГ(М)ФК "Планирование проверок, ревизий и обследований"</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6. Недостатки в части соблюдения положений ФС ВГ(М)ФК "Проведение проверок, ревизий и обследований и оформление их результатов"</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7. Недостатки в части соблюдения положений ФС ВГ(М)ФК "Реализация результатов проверок, ревизий и обследований"</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8. Недостатки в части соблюдения положений ФС ВГ(М)ФК "Правила составления отчетности о результатах контрольной деятельности"</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bCs/>
          <w:sz w:val="24"/>
          <w:szCs w:val="24"/>
        </w:rPr>
        <w:t>9. </w:t>
      </w:r>
      <w:r w:rsidRPr="000C0F82">
        <w:rPr>
          <w:rFonts w:ascii="Times New Roman" w:eastAsia="Times New Roman" w:hAnsi="Times New Roman" w:cs="Times New Roman"/>
          <w:color w:val="333333"/>
          <w:sz w:val="24"/>
          <w:szCs w:val="24"/>
          <w:lang w:eastAsia="ru-RU"/>
        </w:rPr>
        <w:t xml:space="preserve">Недостатки в части соблюдения положений ФС ВГ(М)ФК "Правила досудебного обжалования решений и действий (бездействия) органов внутреннего государственного </w:t>
      </w:r>
      <w:r w:rsidRPr="000C0F82">
        <w:rPr>
          <w:rFonts w:ascii="Times New Roman" w:eastAsia="Times New Roman" w:hAnsi="Times New Roman" w:cs="Times New Roman"/>
          <w:color w:val="333333"/>
          <w:sz w:val="24"/>
          <w:szCs w:val="24"/>
          <w:lang w:eastAsia="ru-RU"/>
        </w:rPr>
        <w:lastRenderedPageBreak/>
        <w:t>(муниципального) финансового контроля и их должностных лиц"</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10. Недостатки в части соблюдения форм документов, оформляемых ОГ(М)ФК</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11. Недостатки в части соблюдения методических рекомендаций по составлению и представлению отчетности о результатах контрольной деятельности ОГ(М)ФК</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12. Недостатки в части соблюдения Правил ведения реестра жалоб, плановых и внеплановых проверок, принятых по ним решений и выданных предписаний, представлений</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color w:val="333333"/>
          <w:sz w:val="24"/>
          <w:szCs w:val="24"/>
          <w:lang w:eastAsia="ru-RU"/>
        </w:rPr>
      </w:pPr>
      <w:r w:rsidRPr="000C0F82">
        <w:rPr>
          <w:rFonts w:ascii="Times New Roman" w:eastAsia="Times New Roman" w:hAnsi="Times New Roman" w:cs="Times New Roman"/>
          <w:color w:val="333333"/>
          <w:sz w:val="24"/>
          <w:szCs w:val="24"/>
          <w:lang w:eastAsia="ru-RU"/>
        </w:rPr>
        <w:t>13. Недостатки в части соблюдения положений Кодекса Российской Федерации об административных правонарушениях</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14. Недостатки в части взаимодействия в рамках контрольной деятельности</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C0F82">
        <w:rPr>
          <w:rFonts w:ascii="Times New Roman" w:eastAsia="Times New Roman" w:hAnsi="Times New Roman" w:cs="Times New Roman"/>
          <w:color w:val="333333"/>
          <w:sz w:val="24"/>
          <w:szCs w:val="24"/>
          <w:lang w:eastAsia="ru-RU"/>
        </w:rPr>
        <w:t>15. Недостатки в части соблюдения положений ведомственных стандартов</w:t>
      </w:r>
    </w:p>
    <w:p w:rsidR="000C0F82" w:rsidRPr="000C0F82" w:rsidRDefault="000C0F82" w:rsidP="000C0F82">
      <w:pPr>
        <w:spacing w:after="0" w:line="240" w:lineRule="auto"/>
        <w:jc w:val="both"/>
        <w:rPr>
          <w:rFonts w:ascii="Times New Roman" w:eastAsia="Times New Roman" w:hAnsi="Times New Roman" w:cs="Times New Roman"/>
          <w:vanish/>
          <w:sz w:val="24"/>
          <w:szCs w:val="24"/>
          <w:lang w:eastAsia="ru-RU"/>
        </w:rPr>
      </w:pPr>
      <w:r w:rsidRPr="000C0F82">
        <w:rPr>
          <w:rFonts w:ascii="Times New Roman" w:eastAsia="Times New Roman" w:hAnsi="Times New Roman" w:cs="Times New Roman"/>
          <w:sz w:val="24"/>
          <w:szCs w:val="24"/>
          <w:lang w:eastAsia="ru-RU"/>
        </w:rPr>
        <w:t>16. Недостатки в части соблюдения положений федерального закона от 09.02.2009 г. № 8-ФЗ "Об обеспечении доступа к информации о деятельности государственных органов и органов местного самоуправления"</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0C0F82">
        <w:rPr>
          <w:rFonts w:ascii="Times New Roman" w:eastAsia="Times New Roman" w:hAnsi="Times New Roman" w:cs="Times New Roman"/>
          <w:bCs/>
          <w:sz w:val="24"/>
          <w:szCs w:val="24"/>
        </w:rPr>
        <w:t>17. Недостатки в части соблюдения положений приказа Минфина России от 25.04.2023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w:t>
      </w:r>
    </w:p>
    <w:p w:rsidR="000C0F82" w:rsidRPr="000C0F82" w:rsidRDefault="000C0F82" w:rsidP="000C0F82">
      <w:pPr>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lang w:eastAsia="ru-RU"/>
        </w:rPr>
        <w:t>18. Иные недостатки</w:t>
      </w:r>
    </w:p>
    <w:p w:rsidR="000C0F82" w:rsidRPr="000C0F82" w:rsidRDefault="000C0F82" w:rsidP="003A57D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Динамика выявленных типовых недостатков в количественном выражении по процессам в 2024-2025 годах показана на диаграмме 2.</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p>
    <w:p w:rsidR="000C0F82" w:rsidRPr="000C0F82" w:rsidRDefault="000C0F82" w:rsidP="000C0F82">
      <w:pPr>
        <w:spacing w:after="0" w:line="240" w:lineRule="auto"/>
        <w:jc w:val="both"/>
        <w:rPr>
          <w:rFonts w:ascii="Calibri" w:eastAsia="Calibri" w:hAnsi="Calibri" w:cs="Times New Roman"/>
        </w:rPr>
      </w:pPr>
      <w:r w:rsidRPr="000C0F82">
        <w:rPr>
          <w:rFonts w:ascii="Calibri" w:eastAsia="Calibri" w:hAnsi="Calibri" w:cs="Times New Roman"/>
          <w:noProof/>
          <w:lang w:eastAsia="ru-RU"/>
        </w:rPr>
        <w:drawing>
          <wp:inline distT="0" distB="0" distL="0" distR="0" wp14:anchorId="2CB292BC" wp14:editId="59B3F011">
            <wp:extent cx="6507480" cy="4495800"/>
            <wp:effectExtent l="0" t="0" r="762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0C0F82" w:rsidRPr="000C0F82" w:rsidRDefault="000C0F82" w:rsidP="000C0F82">
      <w:pPr>
        <w:spacing w:after="0" w:line="240" w:lineRule="auto"/>
        <w:jc w:val="center"/>
        <w:rPr>
          <w:rFonts w:ascii="Times New Roman" w:eastAsia="Calibri" w:hAnsi="Times New Roman" w:cs="Times New Roman"/>
          <w:i/>
          <w:sz w:val="24"/>
          <w:szCs w:val="24"/>
        </w:rPr>
      </w:pPr>
    </w:p>
    <w:p w:rsidR="000C0F82" w:rsidRPr="000C0F82" w:rsidRDefault="000C0F82" w:rsidP="000C0F82">
      <w:pPr>
        <w:spacing w:after="0" w:line="240" w:lineRule="auto"/>
        <w:jc w:val="center"/>
        <w:rPr>
          <w:rFonts w:ascii="Times New Roman" w:eastAsia="Calibri" w:hAnsi="Times New Roman" w:cs="Times New Roman"/>
          <w:i/>
          <w:sz w:val="24"/>
          <w:szCs w:val="24"/>
        </w:rPr>
      </w:pPr>
      <w:r w:rsidRPr="000C0F82">
        <w:rPr>
          <w:rFonts w:ascii="Times New Roman" w:eastAsia="Calibri" w:hAnsi="Times New Roman" w:cs="Times New Roman"/>
          <w:i/>
          <w:sz w:val="24"/>
          <w:szCs w:val="24"/>
        </w:rPr>
        <w:t>Диаграмма 2. – Динамика выявленных типовых недостатков в количественном выражении по процессам в 2024 -2025 годах</w:t>
      </w:r>
    </w:p>
    <w:p w:rsidR="000C0F82" w:rsidRPr="000C0F82" w:rsidRDefault="000C0F82" w:rsidP="000C0F82">
      <w:pPr>
        <w:spacing w:after="0" w:line="240" w:lineRule="auto"/>
        <w:jc w:val="center"/>
        <w:rPr>
          <w:rFonts w:ascii="Times New Roman" w:eastAsia="Times New Roman" w:hAnsi="Times New Roman" w:cs="Times New Roman"/>
          <w:sz w:val="24"/>
          <w:szCs w:val="24"/>
          <w:lang w:eastAsia="ru-RU"/>
        </w:rPr>
      </w:pP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1. Недостатки, выявленные в актах, регламентирующих деятельность органа контроля по внутреннему государственному (муниципальному) финансовому контролю</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C0F82">
        <w:rPr>
          <w:rFonts w:ascii="Times New Roman" w:eastAsia="Times New Roman" w:hAnsi="Times New Roman" w:cs="Times New Roman"/>
          <w:sz w:val="24"/>
          <w:szCs w:val="24"/>
        </w:rPr>
        <w:t>2. Неисполнение полномочий органа контроля по осуществлению внутреннего государственного (муниципального) финансового контроля</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C0F82">
        <w:rPr>
          <w:rFonts w:ascii="Times New Roman" w:eastAsia="Calibri" w:hAnsi="Times New Roman" w:cs="Times New Roman"/>
          <w:bCs/>
          <w:sz w:val="24"/>
          <w:szCs w:val="24"/>
        </w:rPr>
        <w:t>3. </w:t>
      </w:r>
      <w:r w:rsidRPr="000C0F82">
        <w:rPr>
          <w:rFonts w:ascii="Times New Roman" w:eastAsia="Times New Roman" w:hAnsi="Times New Roman" w:cs="Times New Roman"/>
          <w:sz w:val="24"/>
          <w:szCs w:val="24"/>
        </w:rPr>
        <w:t>Неисполнение принятых от иного муниципального образования полномочий по осуществлению внутреннего муниципального финансового контроля</w:t>
      </w: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4. Недостатки, выявленные в части планирования контрольных мероприятий</w:t>
      </w: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5. Недостатки, выявленные в части проведения контрольных мероприятий</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C0F82">
        <w:rPr>
          <w:rFonts w:ascii="Times New Roman" w:eastAsia="Times New Roman" w:hAnsi="Times New Roman" w:cs="Times New Roman"/>
          <w:sz w:val="24"/>
          <w:szCs w:val="24"/>
        </w:rPr>
        <w:t>6. Недостатки, выявленные в части реализации результатов контрольных мероприятий</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0C0F82">
        <w:rPr>
          <w:rFonts w:ascii="Times New Roman" w:eastAsia="Times New Roman" w:hAnsi="Times New Roman" w:cs="Times New Roman"/>
          <w:sz w:val="24"/>
          <w:szCs w:val="24"/>
        </w:rPr>
        <w:t xml:space="preserve">7. Недостатки, выявленные в части составления и представления отчетности о результатах исполнения бюджетных полномочий по внутреннему государственному (муниципальному) финансовому контролю (в </w:t>
      </w:r>
      <w:proofErr w:type="spellStart"/>
      <w:r w:rsidRPr="000C0F82">
        <w:rPr>
          <w:rFonts w:ascii="Times New Roman" w:eastAsia="Times New Roman" w:hAnsi="Times New Roman" w:cs="Times New Roman"/>
          <w:sz w:val="24"/>
          <w:szCs w:val="24"/>
        </w:rPr>
        <w:t>т.ч</w:t>
      </w:r>
      <w:proofErr w:type="spellEnd"/>
      <w:r w:rsidRPr="000C0F82">
        <w:rPr>
          <w:rFonts w:ascii="Times New Roman" w:eastAsia="Times New Roman" w:hAnsi="Times New Roman" w:cs="Times New Roman"/>
          <w:sz w:val="24"/>
          <w:szCs w:val="24"/>
        </w:rPr>
        <w:t>. недостатки в части соблюдения</w:t>
      </w:r>
      <w:r w:rsidRPr="000C0F82">
        <w:rPr>
          <w:rFonts w:ascii="Times New Roman" w:eastAsia="Times New Roman" w:hAnsi="Times New Roman" w:cs="Times New Roman"/>
          <w:bCs/>
          <w:sz w:val="24"/>
          <w:szCs w:val="24"/>
        </w:rPr>
        <w:t xml:space="preserve"> положений приказа Минфина России от 25.04.2023 № 55н</w:t>
      </w:r>
      <w:r w:rsidRPr="000C0F82">
        <w:rPr>
          <w:rFonts w:ascii="Times New Roman" w:eastAsia="Times New Roman" w:hAnsi="Times New Roman" w:cs="Times New Roman"/>
          <w:sz w:val="24"/>
          <w:szCs w:val="24"/>
          <w:lang w:eastAsia="ru-RU"/>
        </w:rPr>
        <w:t>)</w:t>
      </w: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8. Недостатки, выявленные в части информационного взаимодействия с правоохранительными органами, исполнительными органами субъекта Российской Федерации (муниципального образования), контрольно-счетными органами субъекта Российской Федерации (муниципального образования)</w:t>
      </w: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9. Недостатки, выявленные в части размещения информации в информационно-телекоммуникационной сети «Интернет»</w:t>
      </w:r>
    </w:p>
    <w:p w:rsidR="000C0F82" w:rsidRPr="000C0F82" w:rsidRDefault="000C0F82" w:rsidP="000C0F82">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0C0F82">
        <w:rPr>
          <w:rFonts w:ascii="Times New Roman" w:eastAsia="Times New Roman" w:hAnsi="Times New Roman" w:cs="Times New Roman"/>
          <w:sz w:val="24"/>
          <w:szCs w:val="24"/>
        </w:rPr>
        <w:t>10. Недостатки, выявленные при ведении реестра жалоб, плановых и внеплановых проверок, принятых по ним решений и выданных предписаний, представлений</w:t>
      </w:r>
    </w:p>
    <w:p w:rsidR="000C0F82" w:rsidRPr="000C0F82" w:rsidRDefault="000C0F82" w:rsidP="000C0F8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0F82">
        <w:rPr>
          <w:rFonts w:ascii="Times New Roman" w:eastAsia="Times New Roman" w:hAnsi="Times New Roman" w:cs="Times New Roman"/>
          <w:sz w:val="24"/>
          <w:szCs w:val="24"/>
        </w:rPr>
        <w:t>11. Иные н</w:t>
      </w:r>
      <w:r w:rsidRPr="000C0F82">
        <w:rPr>
          <w:rFonts w:ascii="Times New Roman" w:eastAsia="Times New Roman" w:hAnsi="Times New Roman" w:cs="Times New Roman"/>
          <w:sz w:val="24"/>
          <w:szCs w:val="24"/>
          <w:lang w:eastAsia="ru-RU"/>
        </w:rPr>
        <w:t>едостатки</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0C0F82">
        <w:rPr>
          <w:rFonts w:ascii="Times New Roman" w:eastAsia="Calibri" w:hAnsi="Times New Roman" w:cs="Times New Roman"/>
          <w:bCs/>
          <w:sz w:val="28"/>
          <w:szCs w:val="28"/>
        </w:rPr>
        <w:t>В 2025 году Управлением, при анализе исполнения бюджетных полномочий, было выявлено в 8 ОМФК на 56 недостатков больше, чем в 2024 году в 10 ОГ(М)ФК (216 в 2025 году и 160 в 2024 году).</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0C0F82">
        <w:rPr>
          <w:rFonts w:ascii="Times New Roman" w:eastAsia="Calibri" w:hAnsi="Times New Roman" w:cs="Times New Roman"/>
          <w:bCs/>
          <w:sz w:val="28"/>
          <w:szCs w:val="28"/>
        </w:rPr>
        <w:t xml:space="preserve">Основной прирост недостатков пришелся на недостатки в части соблюдения </w:t>
      </w:r>
      <w:r w:rsidRPr="000C0F82">
        <w:rPr>
          <w:rFonts w:ascii="Times New Roman" w:eastAsia="Times New Roman" w:hAnsi="Times New Roman" w:cs="Times New Roman"/>
          <w:sz w:val="28"/>
          <w:szCs w:val="28"/>
          <w:lang w:eastAsia="ru-RU"/>
        </w:rPr>
        <w:t xml:space="preserve">положений ФС ВГ(М)ФК "Проведение проверок, ревизий и обследований и оформление их результатов" </w:t>
      </w:r>
      <w:r w:rsidRPr="000C0F82">
        <w:rPr>
          <w:rFonts w:ascii="Times New Roman" w:eastAsia="Calibri" w:hAnsi="Times New Roman" w:cs="Times New Roman"/>
          <w:bCs/>
          <w:sz w:val="28"/>
          <w:szCs w:val="28"/>
        </w:rPr>
        <w:t xml:space="preserve">(+25), </w:t>
      </w:r>
      <w:r w:rsidRPr="000C0F82">
        <w:rPr>
          <w:rFonts w:ascii="Times New Roman" w:eastAsia="Times New Roman" w:hAnsi="Times New Roman" w:cs="Times New Roman"/>
          <w:sz w:val="28"/>
          <w:szCs w:val="28"/>
          <w:lang w:eastAsia="ru-RU"/>
        </w:rPr>
        <w:t>положений ФС ВГ(М)ФК "Правила составления отчетности о результатах контрольной деятельности"</w:t>
      </w:r>
      <w:r w:rsidRPr="000C0F82">
        <w:rPr>
          <w:rFonts w:ascii="Times New Roman" w:eastAsia="Calibri" w:hAnsi="Times New Roman" w:cs="Times New Roman"/>
          <w:bCs/>
          <w:sz w:val="28"/>
          <w:szCs w:val="28"/>
        </w:rPr>
        <w:t xml:space="preserve"> (+16), </w:t>
      </w:r>
      <w:r w:rsidRPr="000C0F82">
        <w:rPr>
          <w:rFonts w:ascii="Times New Roman" w:eastAsia="Times New Roman" w:hAnsi="Times New Roman" w:cs="Times New Roman"/>
          <w:sz w:val="28"/>
          <w:szCs w:val="28"/>
          <w:lang w:eastAsia="ru-RU"/>
        </w:rPr>
        <w:t>форм документов, оформляемых ОГ(М)ФК</w:t>
      </w:r>
      <w:r w:rsidRPr="000C0F82">
        <w:rPr>
          <w:rFonts w:ascii="Times New Roman" w:eastAsia="Calibri" w:hAnsi="Times New Roman" w:cs="Times New Roman"/>
          <w:bCs/>
          <w:sz w:val="28"/>
          <w:szCs w:val="28"/>
        </w:rPr>
        <w:t xml:space="preserve"> (+12)</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0C0F82">
        <w:rPr>
          <w:rFonts w:ascii="Times New Roman" w:eastAsia="Calibri" w:hAnsi="Times New Roman" w:cs="Times New Roman"/>
          <w:bCs/>
          <w:sz w:val="28"/>
          <w:szCs w:val="28"/>
        </w:rPr>
        <w:t>По результатам анализа органам контроля направлены заключения с рекомендациями по исполнению бюджетных полномочий, по совершенствованию деятельности органа контроля.</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0C0F82">
        <w:rPr>
          <w:rFonts w:ascii="Times New Roman" w:eastAsia="Calibri" w:hAnsi="Times New Roman" w:cs="Times New Roman"/>
          <w:bCs/>
          <w:sz w:val="28"/>
          <w:szCs w:val="28"/>
        </w:rPr>
        <w:t>Органами контроля представлена информация о рассмотрении Заключений и о принятых мерах в установленные сроки.</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bCs/>
          <w:sz w:val="28"/>
          <w:szCs w:val="28"/>
        </w:rPr>
        <w:t>Также проведен а</w:t>
      </w:r>
      <w:r w:rsidRPr="000C0F82">
        <w:rPr>
          <w:rFonts w:ascii="Times New Roman" w:eastAsia="Calibri" w:hAnsi="Times New Roman" w:cs="Times New Roman"/>
          <w:color w:val="333333"/>
          <w:sz w:val="28"/>
          <w:szCs w:val="28"/>
          <w:shd w:val="clear" w:color="auto" w:fill="FEFEFE"/>
        </w:rPr>
        <w:t>нализ исполнения рекомендаций, предложенных по результатам предыдущих анализов (</w:t>
      </w:r>
      <w:r w:rsidRPr="000C0F82">
        <w:rPr>
          <w:rFonts w:ascii="Times New Roman" w:eastAsia="Times New Roman" w:hAnsi="Times New Roman" w:cs="Times New Roman"/>
          <w:sz w:val="28"/>
          <w:szCs w:val="28"/>
          <w:lang w:eastAsia="ru-RU"/>
        </w:rPr>
        <w:t>Таблица № 2.4.)</w:t>
      </w:r>
      <w:r w:rsidRPr="000C0F82">
        <w:rPr>
          <w:rFonts w:ascii="Times New Roman" w:eastAsia="Calibri" w:hAnsi="Times New Roman" w:cs="Times New Roman"/>
          <w:color w:val="333333"/>
          <w:sz w:val="28"/>
          <w:szCs w:val="28"/>
          <w:shd w:val="clear" w:color="auto" w:fill="FEFEFE"/>
        </w:rPr>
        <w:t>.</w:t>
      </w:r>
    </w:p>
    <w:p w:rsidR="000274FA" w:rsidRPr="000C0F82" w:rsidRDefault="000274FA" w:rsidP="00BB5998">
      <w:pPr>
        <w:spacing w:after="0" w:line="240" w:lineRule="auto"/>
        <w:rPr>
          <w:rFonts w:ascii="Times New Roman" w:eastAsia="Times New Roman" w:hAnsi="Times New Roman" w:cs="Times New Roman"/>
          <w:i/>
          <w:sz w:val="24"/>
          <w:szCs w:val="24"/>
          <w:lang w:eastAsia="ru-RU"/>
        </w:rPr>
      </w:pPr>
    </w:p>
    <w:p w:rsidR="000C0F82" w:rsidRPr="000C0F82" w:rsidRDefault="000C0F82" w:rsidP="000C0F82">
      <w:pPr>
        <w:spacing w:after="0" w:line="240" w:lineRule="auto"/>
        <w:jc w:val="right"/>
        <w:rPr>
          <w:rFonts w:ascii="Times New Roman" w:eastAsia="Times New Roman" w:hAnsi="Times New Roman" w:cs="Times New Roman"/>
          <w:i/>
          <w:sz w:val="24"/>
          <w:szCs w:val="24"/>
          <w:lang w:eastAsia="ru-RU"/>
        </w:rPr>
      </w:pPr>
      <w:r w:rsidRPr="000C0F82">
        <w:rPr>
          <w:rFonts w:ascii="Times New Roman" w:eastAsia="Times New Roman" w:hAnsi="Times New Roman" w:cs="Times New Roman"/>
          <w:i/>
          <w:sz w:val="24"/>
          <w:szCs w:val="24"/>
          <w:lang w:eastAsia="ru-RU"/>
        </w:rPr>
        <w:t>Таблица № 4.</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b/>
          <w:color w:val="333333"/>
          <w:sz w:val="24"/>
          <w:szCs w:val="24"/>
          <w:shd w:val="clear" w:color="auto" w:fill="FEFEFE"/>
        </w:rPr>
      </w:pPr>
      <w:r w:rsidRPr="000C0F82">
        <w:rPr>
          <w:rFonts w:ascii="Times New Roman" w:eastAsia="Calibri" w:hAnsi="Times New Roman" w:cs="Times New Roman"/>
          <w:b/>
          <w:color w:val="333333"/>
          <w:sz w:val="24"/>
          <w:szCs w:val="24"/>
          <w:shd w:val="clear" w:color="auto" w:fill="FEFEFE"/>
        </w:rPr>
        <w:t>Анализ органов контроля</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b/>
          <w:color w:val="333333"/>
          <w:sz w:val="24"/>
          <w:szCs w:val="24"/>
          <w:shd w:val="clear" w:color="auto" w:fill="FEFEFE"/>
        </w:rPr>
      </w:pPr>
      <w:r w:rsidRPr="000C0F82">
        <w:rPr>
          <w:rFonts w:ascii="Times New Roman" w:eastAsia="Calibri" w:hAnsi="Times New Roman" w:cs="Times New Roman"/>
          <w:b/>
          <w:color w:val="333333"/>
          <w:sz w:val="24"/>
          <w:szCs w:val="24"/>
          <w:shd w:val="clear" w:color="auto" w:fill="FEFEFE"/>
        </w:rPr>
        <w:t>по количеству исполненных рекомендаций, предложенных в предыдущем аналитическом мероприятии</w:t>
      </w:r>
    </w:p>
    <w:p w:rsidR="000C0F82" w:rsidRPr="000C0F82" w:rsidRDefault="000C0F82" w:rsidP="000C0F82">
      <w:pPr>
        <w:widowControl w:val="0"/>
        <w:autoSpaceDE w:val="0"/>
        <w:autoSpaceDN w:val="0"/>
        <w:adjustRightInd w:val="0"/>
        <w:spacing w:after="0" w:line="240" w:lineRule="auto"/>
        <w:jc w:val="center"/>
        <w:rPr>
          <w:rFonts w:ascii="Times New Roman" w:eastAsia="Calibri" w:hAnsi="Times New Roman" w:cs="Times New Roman"/>
          <w:color w:val="333333"/>
          <w:sz w:val="20"/>
          <w:szCs w:val="20"/>
          <w:shd w:val="clear" w:color="auto" w:fill="FEFEFE"/>
        </w:rPr>
      </w:pPr>
    </w:p>
    <w:tbl>
      <w:tblPr>
        <w:tblStyle w:val="a3"/>
        <w:tblW w:w="0" w:type="auto"/>
        <w:tblLook w:val="04A0" w:firstRow="1" w:lastRow="0" w:firstColumn="1" w:lastColumn="0" w:noHBand="0" w:noVBand="1"/>
      </w:tblPr>
      <w:tblGrid>
        <w:gridCol w:w="2569"/>
        <w:gridCol w:w="1757"/>
        <w:gridCol w:w="1830"/>
        <w:gridCol w:w="1543"/>
        <w:gridCol w:w="1646"/>
      </w:tblGrid>
      <w:tr w:rsidR="000C0F82" w:rsidRPr="000C0F82" w:rsidTr="007C6ADD">
        <w:tc>
          <w:tcPr>
            <w:tcW w:w="0" w:type="auto"/>
          </w:tcPr>
          <w:p w:rsidR="000C0F82" w:rsidRPr="000C0F82" w:rsidRDefault="000C0F82" w:rsidP="000C0F82">
            <w:pPr>
              <w:shd w:val="clear" w:color="auto" w:fill="FEFEFE"/>
              <w:spacing w:line="270" w:lineRule="atLeast"/>
              <w:jc w:val="center"/>
              <w:textAlignment w:val="center"/>
              <w:rPr>
                <w:rFonts w:eastAsia="Calibri"/>
                <w:b/>
                <w:bCs/>
                <w:sz w:val="24"/>
                <w:szCs w:val="24"/>
              </w:rPr>
            </w:pPr>
            <w:r w:rsidRPr="000C0F82">
              <w:rPr>
                <w:b/>
                <w:color w:val="333333"/>
                <w:sz w:val="24"/>
                <w:szCs w:val="24"/>
              </w:rPr>
              <w:t>ОГ(М)ФК</w:t>
            </w:r>
          </w:p>
        </w:tc>
        <w:tc>
          <w:tcPr>
            <w:tcW w:w="0" w:type="auto"/>
          </w:tcPr>
          <w:p w:rsidR="000C0F82" w:rsidRPr="000C0F82" w:rsidRDefault="000C0F82" w:rsidP="000C0F82">
            <w:pPr>
              <w:shd w:val="clear" w:color="auto" w:fill="FEFEFE"/>
              <w:spacing w:line="270" w:lineRule="atLeast"/>
              <w:jc w:val="center"/>
              <w:textAlignment w:val="center"/>
              <w:rPr>
                <w:rFonts w:eastAsia="Calibri"/>
                <w:b/>
                <w:bCs/>
                <w:sz w:val="24"/>
                <w:szCs w:val="24"/>
              </w:rPr>
            </w:pPr>
            <w:r w:rsidRPr="000C0F82">
              <w:rPr>
                <w:b/>
                <w:color w:val="333333"/>
                <w:sz w:val="24"/>
                <w:szCs w:val="24"/>
              </w:rPr>
              <w:t>Год проведения предыдущего Анализа</w:t>
            </w:r>
          </w:p>
        </w:tc>
        <w:tc>
          <w:tcPr>
            <w:tcW w:w="0" w:type="auto"/>
          </w:tcPr>
          <w:p w:rsidR="000C0F82" w:rsidRPr="000C0F82" w:rsidRDefault="000C0F82" w:rsidP="000C0F82">
            <w:pPr>
              <w:shd w:val="clear" w:color="auto" w:fill="FEFEFE"/>
              <w:spacing w:line="270" w:lineRule="atLeast"/>
              <w:jc w:val="center"/>
              <w:textAlignment w:val="center"/>
              <w:rPr>
                <w:rFonts w:eastAsia="Calibri"/>
                <w:b/>
                <w:bCs/>
                <w:sz w:val="24"/>
                <w:szCs w:val="24"/>
              </w:rPr>
            </w:pPr>
            <w:r w:rsidRPr="000C0F82">
              <w:rPr>
                <w:b/>
                <w:color w:val="333333"/>
                <w:sz w:val="24"/>
                <w:szCs w:val="24"/>
              </w:rPr>
              <w:t>% выполненных рекомендаций</w:t>
            </w:r>
          </w:p>
        </w:tc>
        <w:tc>
          <w:tcPr>
            <w:tcW w:w="0" w:type="auto"/>
          </w:tcPr>
          <w:p w:rsidR="000C0F82" w:rsidRPr="000C0F82" w:rsidRDefault="000C0F82" w:rsidP="000C0F82">
            <w:pPr>
              <w:shd w:val="clear" w:color="auto" w:fill="FEFEFE"/>
              <w:spacing w:line="270" w:lineRule="atLeast"/>
              <w:jc w:val="center"/>
              <w:textAlignment w:val="center"/>
              <w:rPr>
                <w:rFonts w:eastAsia="Calibri"/>
                <w:b/>
                <w:bCs/>
                <w:sz w:val="24"/>
                <w:szCs w:val="24"/>
              </w:rPr>
            </w:pPr>
            <w:r w:rsidRPr="000C0F82">
              <w:rPr>
                <w:b/>
                <w:color w:val="333333"/>
                <w:sz w:val="24"/>
                <w:szCs w:val="24"/>
              </w:rPr>
              <w:t>Количество принятых мер</w:t>
            </w:r>
          </w:p>
        </w:tc>
        <w:tc>
          <w:tcPr>
            <w:tcW w:w="0" w:type="auto"/>
          </w:tcPr>
          <w:p w:rsidR="000C0F82" w:rsidRPr="000C0F82" w:rsidRDefault="000C0F82" w:rsidP="000C0F82">
            <w:pPr>
              <w:shd w:val="clear" w:color="auto" w:fill="FEFEFE"/>
              <w:spacing w:line="270" w:lineRule="atLeast"/>
              <w:jc w:val="center"/>
              <w:textAlignment w:val="center"/>
              <w:rPr>
                <w:rFonts w:eastAsia="Calibri"/>
                <w:b/>
                <w:bCs/>
                <w:sz w:val="24"/>
                <w:szCs w:val="24"/>
              </w:rPr>
            </w:pPr>
            <w:r w:rsidRPr="000C0F82">
              <w:rPr>
                <w:b/>
                <w:color w:val="333333"/>
                <w:sz w:val="24"/>
                <w:szCs w:val="24"/>
              </w:rPr>
              <w:t>Меры по устранению недостатков приняты</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 xml:space="preserve">МУНИЦИПАЛЬНОЕ </w:t>
            </w:r>
            <w:r w:rsidRPr="000C0F82">
              <w:lastRenderedPageBreak/>
              <w:t>КАЗЕННОЕ УЧРЕЖДЕНИЕ ФИНАНСОВОЕ УПРАВЛЕНИЕ АДМИНИСТРАЦИИ БЕЛОГОРСКОГО МУНИЦИПАЛЬНОГО ОКРУГА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lastRenderedPageBreak/>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8,33%</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1</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ФИНАНСОВОЕ УПРАВЛЕНИЕ АДМИНИСТРАЦИИ СКОВОРОДИНСКОГО МУНИЦИПАЛЬНОГО ОКРУГА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12,20%</w:t>
            </w:r>
          </w:p>
        </w:tc>
        <w:tc>
          <w:tcPr>
            <w:tcW w:w="0" w:type="auto"/>
          </w:tcPr>
          <w:p w:rsidR="000C0F82" w:rsidRPr="000C0F82" w:rsidRDefault="000C0F82" w:rsidP="000C0F82">
            <w:pPr>
              <w:jc w:val="center"/>
              <w:rPr>
                <w:sz w:val="24"/>
                <w:szCs w:val="24"/>
              </w:rPr>
            </w:pPr>
            <w:r w:rsidRPr="000C0F82">
              <w:rPr>
                <w:sz w:val="24"/>
                <w:szCs w:val="24"/>
              </w:rPr>
              <w:t>5</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ФИНАНСОВОЕ УПРАВЛЕНИЕ АДМИНИСТРАЦИИ АРХАРИНСКОГО МУНИЦИПАЛЬНОГО ОКРУГА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20,83%</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5</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ФИНАНСОВЫЙ ОТДЕЛ АДМИНИСТРАЦИИ РОМНЕНСКОГО МУНИЦИПАЛЬНОГО ОКРУГА АМУРСКОЙ ОБЛАСТИ</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22,22%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6</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ФИНАНСОВОЕ УПРАВЛЕНИЕ АДМИНИСТРАЦИИ СВОБОДНЕНСКОГО РАЙОНА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28,57%</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6</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rPr>
                <w:rFonts w:eastAsia="Calibri"/>
                <w:bCs/>
              </w:rPr>
            </w:pPr>
            <w:r w:rsidRPr="000C0F82">
              <w:t>ФИНАНСОВОЕ УПРАВЛЕНИЕ АДМИНИСТРАЦИИ ЗЕЙСКОГО МУНИЦИПАЛЬНОГО ОКРУГА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2023</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44,00%</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11</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pPr>
            <w:r w:rsidRPr="000C0F82">
              <w:t>АДМИНИСТРАЦИЯ ГОРОДА БЛАГОВЕЩЕНСКА</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2023</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57,14%</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r w:rsidR="000C0F82" w:rsidRPr="000C0F82" w:rsidTr="007C6ADD">
        <w:tc>
          <w:tcPr>
            <w:tcW w:w="0" w:type="auto"/>
          </w:tcPr>
          <w:p w:rsidR="000C0F82" w:rsidRPr="000C0F82" w:rsidRDefault="000C0F82" w:rsidP="000C0F82">
            <w:pPr>
              <w:widowControl w:val="0"/>
              <w:autoSpaceDE w:val="0"/>
              <w:autoSpaceDN w:val="0"/>
              <w:adjustRightInd w:val="0"/>
              <w:jc w:val="both"/>
            </w:pPr>
            <w:r w:rsidRPr="000C0F82">
              <w:t>УЧРЕЖДЕНИЕ ФИНАНСОВЫЙ ОТДЕЛ ГОРОДСКОГО ОКРУГА ПОСЕЛКА ГОРОДСКОГО ТИПА ПРОГРЕСС</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2022</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sz w:val="24"/>
                <w:szCs w:val="24"/>
              </w:rPr>
              <w:t>44,44%</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4</w:t>
            </w:r>
          </w:p>
        </w:tc>
        <w:tc>
          <w:tcPr>
            <w:tcW w:w="0" w:type="auto"/>
          </w:tcPr>
          <w:p w:rsidR="000C0F82" w:rsidRPr="000C0F82" w:rsidRDefault="000C0F82" w:rsidP="000C0F82">
            <w:pPr>
              <w:widowControl w:val="0"/>
              <w:autoSpaceDE w:val="0"/>
              <w:autoSpaceDN w:val="0"/>
              <w:adjustRightInd w:val="0"/>
              <w:jc w:val="center"/>
              <w:rPr>
                <w:rFonts w:eastAsia="Calibri"/>
                <w:bCs/>
                <w:sz w:val="24"/>
                <w:szCs w:val="24"/>
              </w:rPr>
            </w:pPr>
            <w:r w:rsidRPr="000C0F82">
              <w:rPr>
                <w:rFonts w:eastAsia="Calibri"/>
                <w:bCs/>
                <w:sz w:val="24"/>
                <w:szCs w:val="24"/>
              </w:rPr>
              <w:t>нет</w:t>
            </w:r>
          </w:p>
        </w:tc>
      </w:tr>
    </w:tbl>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4"/>
          <w:szCs w:val="24"/>
          <w:shd w:val="clear" w:color="auto" w:fill="FEFEFE"/>
        </w:rPr>
      </w:pP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color w:val="333333"/>
          <w:sz w:val="28"/>
          <w:szCs w:val="28"/>
          <w:shd w:val="clear" w:color="auto" w:fill="FEFEFE"/>
        </w:rPr>
        <w:t>Исполнение рекомендаций, данных органу контроля по результатам предыдущего анализа, определялось исходя из наличия (отсутствия) недостатков в Анализе 2025 года аналогичных ранее установленным.</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color w:val="333333"/>
          <w:sz w:val="28"/>
          <w:szCs w:val="28"/>
          <w:shd w:val="clear" w:color="auto" w:fill="FEFEFE"/>
        </w:rPr>
        <w:t>Ни один орган контроля не исполнил данные рекомендации в полном объеме, процент выполнения варьируется от 8,33 до 57,14.</w:t>
      </w:r>
    </w:p>
    <w:p w:rsidR="000C0F82" w:rsidRPr="000C0F82" w:rsidRDefault="000C0F82" w:rsidP="000D7C6B">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В целях организации проведения в 2026 году Анализа</w:t>
      </w:r>
      <w:r w:rsidR="000D7C6B">
        <w:rPr>
          <w:rFonts w:ascii="Times New Roman" w:eastAsia="Calibri" w:hAnsi="Times New Roman" w:cs="Times New Roman"/>
          <w:sz w:val="28"/>
          <w:szCs w:val="28"/>
        </w:rPr>
        <w:t xml:space="preserve">, </w:t>
      </w:r>
      <w:r w:rsidRPr="000C0F82">
        <w:rPr>
          <w:rFonts w:ascii="Times New Roman" w:eastAsia="Calibri" w:hAnsi="Times New Roman" w:cs="Times New Roman"/>
          <w:sz w:val="28"/>
          <w:szCs w:val="28"/>
        </w:rPr>
        <w:t>в октябре 2025</w:t>
      </w:r>
      <w:r w:rsidR="000D7C6B">
        <w:rPr>
          <w:rFonts w:ascii="Times New Roman" w:eastAsia="Calibri" w:hAnsi="Times New Roman" w:cs="Times New Roman"/>
          <w:sz w:val="28"/>
          <w:szCs w:val="28"/>
        </w:rPr>
        <w:t> </w:t>
      </w:r>
      <w:r w:rsidRPr="000C0F82">
        <w:rPr>
          <w:rFonts w:ascii="Times New Roman" w:eastAsia="Calibri" w:hAnsi="Times New Roman" w:cs="Times New Roman"/>
          <w:sz w:val="28"/>
          <w:szCs w:val="28"/>
        </w:rPr>
        <w:t xml:space="preserve">года осуществлен мониторинг ОГ(М)ФК на территории Амурской области. По результатам мониторинга установлено, что по состоянию </w:t>
      </w:r>
      <w:r w:rsidR="000D7C6B">
        <w:rPr>
          <w:rFonts w:ascii="Times New Roman" w:eastAsia="Calibri" w:hAnsi="Times New Roman" w:cs="Times New Roman"/>
          <w:sz w:val="28"/>
          <w:szCs w:val="28"/>
        </w:rPr>
        <w:br/>
      </w:r>
      <w:r w:rsidRPr="000C0F82">
        <w:rPr>
          <w:rFonts w:ascii="Times New Roman" w:eastAsia="Calibri" w:hAnsi="Times New Roman" w:cs="Times New Roman"/>
          <w:sz w:val="28"/>
          <w:szCs w:val="28"/>
        </w:rPr>
        <w:t xml:space="preserve">на 01.10.2025 на территории Амурской области действовало 35 ОГ(М)ФК, </w:t>
      </w:r>
      <w:r w:rsidR="000D7C6B">
        <w:rPr>
          <w:rFonts w:ascii="Times New Roman" w:eastAsia="Calibri" w:hAnsi="Times New Roman" w:cs="Times New Roman"/>
          <w:sz w:val="28"/>
          <w:szCs w:val="28"/>
        </w:rPr>
        <w:br/>
      </w:r>
      <w:r w:rsidRPr="000C0F82">
        <w:rPr>
          <w:rFonts w:ascii="Times New Roman" w:eastAsia="Calibri" w:hAnsi="Times New Roman" w:cs="Times New Roman"/>
          <w:sz w:val="28"/>
          <w:szCs w:val="28"/>
        </w:rPr>
        <w:t>из них 1 орган государственного финансового контроля, 34 органа муниципального финансового контроля;</w:t>
      </w:r>
    </w:p>
    <w:p w:rsidR="000C0F82" w:rsidRPr="000C0F82" w:rsidRDefault="000C0F82" w:rsidP="000C0F82">
      <w:pPr>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lastRenderedPageBreak/>
        <w:t>в УФК по Амурской области был утвержден 09</w:t>
      </w:r>
      <w:r w:rsidRPr="000C0F82">
        <w:rPr>
          <w:rFonts w:ascii="Times New Roman" w:eastAsia="Times New Roman" w:hAnsi="Times New Roman" w:cs="Times New Roman"/>
          <w:sz w:val="28"/>
          <w:szCs w:val="28"/>
        </w:rPr>
        <w:t xml:space="preserve">.12.2025 руководителем УФК по Амурской области и согласован с заместителем руководителя Казначейства России 22.12.2025 График проведения Управлением Федерального казначейства по Амурской области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w:t>
      </w:r>
      <w:r w:rsidRPr="000C0F82">
        <w:rPr>
          <w:rFonts w:ascii="Times New Roman" w:eastAsia="Times New Roman" w:hAnsi="Times New Roman" w:cs="Times New Roman"/>
          <w:color w:val="000000"/>
          <w:sz w:val="28"/>
          <w:szCs w:val="28"/>
        </w:rPr>
        <w:t>2026</w:t>
      </w:r>
      <w:r w:rsidRPr="000C0F82">
        <w:rPr>
          <w:rFonts w:ascii="Times New Roman" w:eastAsia="Times New Roman" w:hAnsi="Times New Roman" w:cs="Times New Roman"/>
          <w:sz w:val="28"/>
          <w:szCs w:val="28"/>
        </w:rPr>
        <w:t xml:space="preserve"> год, </w:t>
      </w:r>
      <w:r w:rsidR="003A57D1">
        <w:rPr>
          <w:rFonts w:ascii="Times New Roman" w:eastAsia="Times New Roman" w:hAnsi="Times New Roman" w:cs="Times New Roman"/>
          <w:sz w:val="28"/>
          <w:szCs w:val="28"/>
        </w:rPr>
        <w:br/>
      </w:r>
      <w:r w:rsidRPr="000C0F82">
        <w:rPr>
          <w:rFonts w:ascii="Times New Roman" w:eastAsia="Times New Roman" w:hAnsi="Times New Roman" w:cs="Times New Roman"/>
          <w:sz w:val="28"/>
          <w:szCs w:val="28"/>
        </w:rPr>
        <w:t>в отношении 10 органов контроля.</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color w:val="333333"/>
          <w:sz w:val="28"/>
          <w:szCs w:val="28"/>
          <w:shd w:val="clear" w:color="auto" w:fill="FEFEFE"/>
        </w:rPr>
        <w:t>В ПФК были своевременно сформированы и направлены в Федеральное казначейство:</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C0F82">
        <w:rPr>
          <w:rFonts w:ascii="Times New Roman" w:eastAsia="Calibri" w:hAnsi="Times New Roman" w:cs="Times New Roman"/>
          <w:sz w:val="28"/>
          <w:szCs w:val="28"/>
        </w:rPr>
        <w:t>Аналитический отчет о результатах проведения анализа исполнения бюджетных полномочий органов государственного (муниципального) финансового контроля, являющихся исполнительными органами субъекта Российской Федерации (органами местных администраций), в 2024 году УФК по Амурской области;</w:t>
      </w:r>
    </w:p>
    <w:p w:rsidR="000C0F82" w:rsidRPr="000C0F82" w:rsidRDefault="000C0F82" w:rsidP="000C0F8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0C0F82">
        <w:rPr>
          <w:rFonts w:ascii="Times New Roman" w:eastAsia="Calibri" w:hAnsi="Times New Roman" w:cs="Times New Roman"/>
          <w:color w:val="333333"/>
          <w:sz w:val="28"/>
          <w:szCs w:val="28"/>
          <w:shd w:val="clear" w:color="auto" w:fill="FEFEFE"/>
        </w:rPr>
        <w:t xml:space="preserve">Отчеты об исполнении Графика проведения Управлением Федерального казначейства по Амурской области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на 2025 год за 1 квартал, </w:t>
      </w:r>
      <w:r w:rsidR="003B109F">
        <w:rPr>
          <w:rFonts w:ascii="Times New Roman" w:eastAsia="Calibri" w:hAnsi="Times New Roman" w:cs="Times New Roman"/>
          <w:color w:val="333333"/>
          <w:sz w:val="28"/>
          <w:szCs w:val="28"/>
          <w:shd w:val="clear" w:color="auto" w:fill="FEFEFE"/>
        </w:rPr>
        <w:br/>
      </w:r>
      <w:r w:rsidRPr="000C0F82">
        <w:rPr>
          <w:rFonts w:ascii="Times New Roman" w:eastAsia="Calibri" w:hAnsi="Times New Roman" w:cs="Times New Roman"/>
          <w:color w:val="333333"/>
          <w:sz w:val="28"/>
          <w:szCs w:val="28"/>
          <w:shd w:val="clear" w:color="auto" w:fill="FEFEFE"/>
        </w:rPr>
        <w:t xml:space="preserve">за 1 полугодие, за 9 месяцев, за год. </w:t>
      </w:r>
    </w:p>
    <w:p w:rsidR="007319B2" w:rsidRPr="007319B2" w:rsidRDefault="007319B2" w:rsidP="007319B2">
      <w:pPr>
        <w:widowControl w:val="0"/>
        <w:autoSpaceDE w:val="0"/>
        <w:autoSpaceDN w:val="0"/>
        <w:adjustRightInd w:val="0"/>
        <w:spacing w:after="0" w:line="240" w:lineRule="auto"/>
        <w:ind w:firstLine="709"/>
        <w:jc w:val="both"/>
        <w:rPr>
          <w:rFonts w:ascii="Times New Roman" w:eastAsia="Calibri" w:hAnsi="Times New Roman" w:cs="Times New Roman"/>
          <w:color w:val="333333"/>
          <w:sz w:val="28"/>
          <w:szCs w:val="28"/>
          <w:shd w:val="clear" w:color="auto" w:fill="FEFEFE"/>
        </w:rPr>
      </w:pPr>
      <w:r w:rsidRPr="007319B2">
        <w:rPr>
          <w:rFonts w:ascii="Times New Roman" w:eastAsia="Calibri" w:hAnsi="Times New Roman" w:cs="Times New Roman"/>
          <w:color w:val="333333"/>
          <w:sz w:val="28"/>
          <w:szCs w:val="28"/>
          <w:shd w:val="clear" w:color="auto" w:fill="FEFEFE"/>
        </w:rPr>
        <w:t>В декабре 2025 года проведен внеплановый мониторинг ОГ(М)ФК в части сведений о количестве информационных систем, используемых при осуществлении государственного контроля (надзора) и муниципального контроля. Установлено, что ОГ(М)ФК, расположенные на территории Амурской области, при осуществлении государственного контроля (надзора) и муниципального контроля не используют собственные (или приобретенные в индивидуальном порядке) информационные системы.</w:t>
      </w:r>
    </w:p>
    <w:p w:rsidR="00625EEB" w:rsidRDefault="00625EEB"/>
    <w:sectPr w:rsidR="00625E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F82"/>
    <w:rsid w:val="000274FA"/>
    <w:rsid w:val="000A0139"/>
    <w:rsid w:val="000C0F82"/>
    <w:rsid w:val="000D7C6B"/>
    <w:rsid w:val="002A0F9F"/>
    <w:rsid w:val="003A57D1"/>
    <w:rsid w:val="003B109F"/>
    <w:rsid w:val="00625EEB"/>
    <w:rsid w:val="007319B2"/>
    <w:rsid w:val="00BB5998"/>
    <w:rsid w:val="00E44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D2C8"/>
  <w15:chartTrackingRefBased/>
  <w15:docId w15:val="{779BCC05-9AC5-428D-B8CA-6560BFD8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C0F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2024</c:v>
                </c:pt>
              </c:strCache>
            </c:strRef>
          </c:tx>
          <c:spPr>
            <a:solidFill>
              <a:srgbClr val="DE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Лист1!$A$2:$A$19</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Лист1!$B$2:$B$19</c:f>
              <c:numCache>
                <c:formatCode>General</c:formatCode>
                <c:ptCount val="18"/>
                <c:pt idx="0">
                  <c:v>16</c:v>
                </c:pt>
                <c:pt idx="1">
                  <c:v>7</c:v>
                </c:pt>
                <c:pt idx="2">
                  <c:v>0</c:v>
                </c:pt>
                <c:pt idx="3">
                  <c:v>11</c:v>
                </c:pt>
                <c:pt idx="4">
                  <c:v>20</c:v>
                </c:pt>
                <c:pt idx="5">
                  <c:v>52</c:v>
                </c:pt>
                <c:pt idx="6">
                  <c:v>13</c:v>
                </c:pt>
                <c:pt idx="7">
                  <c:v>7</c:v>
                </c:pt>
                <c:pt idx="8">
                  <c:v>0</c:v>
                </c:pt>
                <c:pt idx="9">
                  <c:v>19</c:v>
                </c:pt>
                <c:pt idx="10">
                  <c:v>2</c:v>
                </c:pt>
                <c:pt idx="11">
                  <c:v>8</c:v>
                </c:pt>
                <c:pt idx="12">
                  <c:v>1</c:v>
                </c:pt>
                <c:pt idx="13">
                  <c:v>2</c:v>
                </c:pt>
                <c:pt idx="14">
                  <c:v>0</c:v>
                </c:pt>
                <c:pt idx="15">
                  <c:v>1</c:v>
                </c:pt>
                <c:pt idx="16">
                  <c:v>0</c:v>
                </c:pt>
                <c:pt idx="17">
                  <c:v>1</c:v>
                </c:pt>
              </c:numCache>
            </c:numRef>
          </c:val>
          <c:extLst>
            <c:ext xmlns:c16="http://schemas.microsoft.com/office/drawing/2014/chart" uri="{C3380CC4-5D6E-409C-BE32-E72D297353CC}">
              <c16:uniqueId val="{00000000-F9D2-4A93-87C6-EB342996C85A}"/>
            </c:ext>
          </c:extLst>
        </c:ser>
        <c:ser>
          <c:idx val="1"/>
          <c:order val="1"/>
          <c:tx>
            <c:strRef>
              <c:f>Лист1!$C$1</c:f>
              <c:strCache>
                <c:ptCount val="1"/>
                <c:pt idx="0">
                  <c:v>2025</c:v>
                </c:pt>
              </c:strCache>
            </c:strRef>
          </c:tx>
          <c:spPr>
            <a:solidFill>
              <a:srgbClr val="00A249"/>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Лист1!$A$2:$A$19</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Лист1!$C$2:$C$19</c:f>
              <c:numCache>
                <c:formatCode>General</c:formatCode>
                <c:ptCount val="18"/>
                <c:pt idx="0">
                  <c:v>12</c:v>
                </c:pt>
                <c:pt idx="1">
                  <c:v>3</c:v>
                </c:pt>
                <c:pt idx="2">
                  <c:v>2</c:v>
                </c:pt>
                <c:pt idx="3">
                  <c:v>13</c:v>
                </c:pt>
                <c:pt idx="4">
                  <c:v>23</c:v>
                </c:pt>
                <c:pt idx="5">
                  <c:v>77</c:v>
                </c:pt>
                <c:pt idx="6">
                  <c:v>18</c:v>
                </c:pt>
                <c:pt idx="7">
                  <c:v>23</c:v>
                </c:pt>
                <c:pt idx="8">
                  <c:v>0</c:v>
                </c:pt>
                <c:pt idx="9">
                  <c:v>31</c:v>
                </c:pt>
                <c:pt idx="10">
                  <c:v>4</c:v>
                </c:pt>
                <c:pt idx="11">
                  <c:v>1</c:v>
                </c:pt>
                <c:pt idx="12">
                  <c:v>0</c:v>
                </c:pt>
                <c:pt idx="13">
                  <c:v>1</c:v>
                </c:pt>
                <c:pt idx="14">
                  <c:v>0</c:v>
                </c:pt>
                <c:pt idx="15">
                  <c:v>2</c:v>
                </c:pt>
                <c:pt idx="16">
                  <c:v>6</c:v>
                </c:pt>
                <c:pt idx="17">
                  <c:v>0</c:v>
                </c:pt>
              </c:numCache>
            </c:numRef>
          </c:val>
          <c:extLst>
            <c:ext xmlns:c16="http://schemas.microsoft.com/office/drawing/2014/chart" uri="{C3380CC4-5D6E-409C-BE32-E72D297353CC}">
              <c16:uniqueId val="{00000001-F9D2-4A93-87C6-EB342996C85A}"/>
            </c:ext>
          </c:extLst>
        </c:ser>
        <c:dLbls>
          <c:showLegendKey val="0"/>
          <c:showVal val="0"/>
          <c:showCatName val="0"/>
          <c:showSerName val="0"/>
          <c:showPercent val="0"/>
          <c:showBubbleSize val="0"/>
        </c:dLbls>
        <c:gapWidth val="150"/>
        <c:axId val="514388304"/>
        <c:axId val="514388696"/>
      </c:barChart>
      <c:catAx>
        <c:axId val="514388304"/>
        <c:scaling>
          <c:orientation val="minMax"/>
        </c:scaling>
        <c:delete val="0"/>
        <c:axPos val="b"/>
        <c:numFmt formatCode="General" sourceLinked="0"/>
        <c:majorTickMark val="out"/>
        <c:minorTickMark val="none"/>
        <c:tickLblPos val="nextTo"/>
        <c:txPr>
          <a:bodyPr rot="-2700000" vert="horz"/>
          <a:lstStyle/>
          <a:p>
            <a:pPr>
              <a:defRPr sz="999" b="0" i="0" u="none" strike="noStrike" baseline="0">
                <a:solidFill>
                  <a:srgbClr val="000000"/>
                </a:solidFill>
                <a:latin typeface="Calibri"/>
                <a:ea typeface="Calibri"/>
                <a:cs typeface="Calibri"/>
              </a:defRPr>
            </a:pPr>
            <a:endParaRPr lang="ru-RU"/>
          </a:p>
        </c:txPr>
        <c:crossAx val="514388696"/>
        <c:crosses val="autoZero"/>
        <c:auto val="1"/>
        <c:lblAlgn val="ctr"/>
        <c:lblOffset val="100"/>
        <c:noMultiLvlLbl val="0"/>
      </c:catAx>
      <c:valAx>
        <c:axId val="514388696"/>
        <c:scaling>
          <c:orientation val="minMax"/>
        </c:scaling>
        <c:delete val="0"/>
        <c:axPos val="l"/>
        <c:majorGridlines/>
        <c:numFmt formatCode="General" sourceLinked="1"/>
        <c:majorTickMark val="out"/>
        <c:minorTickMark val="none"/>
        <c:tickLblPos val="nextTo"/>
        <c:txPr>
          <a:bodyPr rot="0" vert="horz"/>
          <a:lstStyle/>
          <a:p>
            <a:pPr>
              <a:defRPr sz="999" b="0" i="0" u="none" strike="noStrike" baseline="0">
                <a:solidFill>
                  <a:srgbClr val="000000"/>
                </a:solidFill>
                <a:latin typeface="Calibri"/>
                <a:ea typeface="Calibri"/>
                <a:cs typeface="Calibri"/>
              </a:defRPr>
            </a:pPr>
            <a:endParaRPr lang="ru-RU"/>
          </a:p>
        </c:txPr>
        <c:crossAx val="514388304"/>
        <c:crosses val="autoZero"/>
        <c:crossBetween val="between"/>
      </c:valAx>
    </c:plotArea>
    <c:legend>
      <c:legendPos val="r"/>
      <c:layout/>
      <c:overlay val="0"/>
      <c:txPr>
        <a:bodyPr/>
        <a:lstStyle/>
        <a:p>
          <a:pPr>
            <a:defRPr sz="844" b="0" i="0" u="none" strike="noStrike" baseline="0">
              <a:solidFill>
                <a:srgbClr val="000000"/>
              </a:solidFill>
              <a:latin typeface="Calibri"/>
              <a:ea typeface="Calibri"/>
              <a:cs typeface="Calibri"/>
            </a:defRPr>
          </a:pPr>
          <a:endParaRPr lang="ru-RU"/>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2024</c:v>
                </c:pt>
              </c:strCache>
            </c:strRef>
          </c:tx>
          <c:spPr>
            <a:solidFill>
              <a:srgbClr val="DE0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Лист1!$A$2:$A$12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cat>
          <c:val>
            <c:numRef>
              <c:f>Лист1!$B$2:$B$12</c:f>
              <c:numCache>
                <c:formatCode>General</c:formatCode>
                <c:ptCount val="11"/>
                <c:pt idx="0">
                  <c:v>24</c:v>
                </c:pt>
                <c:pt idx="1">
                  <c:v>3</c:v>
                </c:pt>
                <c:pt idx="2">
                  <c:v>1</c:v>
                </c:pt>
                <c:pt idx="3">
                  <c:v>17</c:v>
                </c:pt>
                <c:pt idx="4">
                  <c:v>66</c:v>
                </c:pt>
                <c:pt idx="5">
                  <c:v>28</c:v>
                </c:pt>
                <c:pt idx="6">
                  <c:v>10</c:v>
                </c:pt>
                <c:pt idx="7">
                  <c:v>2</c:v>
                </c:pt>
                <c:pt idx="8">
                  <c:v>1</c:v>
                </c:pt>
                <c:pt idx="9">
                  <c:v>8</c:v>
                </c:pt>
                <c:pt idx="10">
                  <c:v>0</c:v>
                </c:pt>
              </c:numCache>
            </c:numRef>
          </c:val>
          <c:extLst>
            <c:ext xmlns:c16="http://schemas.microsoft.com/office/drawing/2014/chart" uri="{C3380CC4-5D6E-409C-BE32-E72D297353CC}">
              <c16:uniqueId val="{00000000-5942-4595-B0F8-CF73E446549F}"/>
            </c:ext>
          </c:extLst>
        </c:ser>
        <c:ser>
          <c:idx val="1"/>
          <c:order val="1"/>
          <c:tx>
            <c:strRef>
              <c:f>Лист1!$C$1</c:f>
              <c:strCache>
                <c:ptCount val="1"/>
                <c:pt idx="0">
                  <c:v>2025</c:v>
                </c:pt>
              </c:strCache>
            </c:strRef>
          </c:tx>
          <c:spPr>
            <a:solidFill>
              <a:srgbClr val="00A249"/>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Лист1!$A$2:$A$12</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cat>
          <c:val>
            <c:numRef>
              <c:f>Лист1!$C$2:$C$12</c:f>
              <c:numCache>
                <c:formatCode>General</c:formatCode>
                <c:ptCount val="11"/>
                <c:pt idx="0">
                  <c:v>13</c:v>
                </c:pt>
                <c:pt idx="1">
                  <c:v>1</c:v>
                </c:pt>
                <c:pt idx="2">
                  <c:v>0</c:v>
                </c:pt>
                <c:pt idx="3">
                  <c:v>26</c:v>
                </c:pt>
                <c:pt idx="4">
                  <c:v>96</c:v>
                </c:pt>
                <c:pt idx="5">
                  <c:v>44</c:v>
                </c:pt>
                <c:pt idx="6">
                  <c:v>33</c:v>
                </c:pt>
                <c:pt idx="7">
                  <c:v>0</c:v>
                </c:pt>
                <c:pt idx="8">
                  <c:v>2</c:v>
                </c:pt>
                <c:pt idx="9">
                  <c:v>1</c:v>
                </c:pt>
                <c:pt idx="10">
                  <c:v>0</c:v>
                </c:pt>
              </c:numCache>
            </c:numRef>
          </c:val>
          <c:extLst>
            <c:ext xmlns:c16="http://schemas.microsoft.com/office/drawing/2014/chart" uri="{C3380CC4-5D6E-409C-BE32-E72D297353CC}">
              <c16:uniqueId val="{00000001-5942-4595-B0F8-CF73E446549F}"/>
            </c:ext>
          </c:extLst>
        </c:ser>
        <c:dLbls>
          <c:showLegendKey val="0"/>
          <c:showVal val="0"/>
          <c:showCatName val="0"/>
          <c:showSerName val="0"/>
          <c:showPercent val="0"/>
          <c:showBubbleSize val="0"/>
        </c:dLbls>
        <c:gapWidth val="150"/>
        <c:axId val="514389480"/>
        <c:axId val="514389872"/>
      </c:barChart>
      <c:catAx>
        <c:axId val="514389480"/>
        <c:scaling>
          <c:orientation val="minMax"/>
        </c:scaling>
        <c:delete val="0"/>
        <c:axPos val="b"/>
        <c:numFmt formatCode="General" sourceLinked="0"/>
        <c:majorTickMark val="out"/>
        <c:minorTickMark val="none"/>
        <c:tickLblPos val="nextTo"/>
        <c:txPr>
          <a:bodyPr rot="-2700000" vert="horz"/>
          <a:lstStyle/>
          <a:p>
            <a:pPr>
              <a:defRPr sz="999" b="0" i="0" u="none" strike="noStrike" baseline="0">
                <a:solidFill>
                  <a:srgbClr val="000000"/>
                </a:solidFill>
                <a:latin typeface="Calibri"/>
                <a:ea typeface="Calibri"/>
                <a:cs typeface="Calibri"/>
              </a:defRPr>
            </a:pPr>
            <a:endParaRPr lang="ru-RU"/>
          </a:p>
        </c:txPr>
        <c:crossAx val="514389872"/>
        <c:crosses val="autoZero"/>
        <c:auto val="1"/>
        <c:lblAlgn val="ctr"/>
        <c:lblOffset val="100"/>
        <c:noMultiLvlLbl val="0"/>
      </c:catAx>
      <c:valAx>
        <c:axId val="514389872"/>
        <c:scaling>
          <c:orientation val="minMax"/>
        </c:scaling>
        <c:delete val="0"/>
        <c:axPos val="l"/>
        <c:majorGridlines/>
        <c:numFmt formatCode="General" sourceLinked="1"/>
        <c:majorTickMark val="out"/>
        <c:minorTickMark val="none"/>
        <c:tickLblPos val="nextTo"/>
        <c:txPr>
          <a:bodyPr rot="0" vert="horz"/>
          <a:lstStyle/>
          <a:p>
            <a:pPr>
              <a:defRPr sz="999" b="0" i="0" u="none" strike="noStrike" baseline="0">
                <a:solidFill>
                  <a:srgbClr val="000000"/>
                </a:solidFill>
                <a:latin typeface="Calibri"/>
                <a:ea typeface="Calibri"/>
                <a:cs typeface="Calibri"/>
              </a:defRPr>
            </a:pPr>
            <a:endParaRPr lang="ru-RU"/>
          </a:p>
        </c:txPr>
        <c:crossAx val="514389480"/>
        <c:crosses val="autoZero"/>
        <c:crossBetween val="between"/>
      </c:valAx>
    </c:plotArea>
    <c:legend>
      <c:legendPos val="r"/>
      <c:layout/>
      <c:overlay val="0"/>
      <c:txPr>
        <a:bodyPr/>
        <a:lstStyle/>
        <a:p>
          <a:pPr>
            <a:defRPr sz="844" b="0" i="0" u="none" strike="noStrike" baseline="0">
              <a:solidFill>
                <a:srgbClr val="000000"/>
              </a:solidFill>
              <a:latin typeface="Calibri"/>
              <a:ea typeface="Calibri"/>
              <a:cs typeface="Calibri"/>
            </a:defRPr>
          </a:pPr>
          <a:endParaRPr lang="ru-RU"/>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22</TotalTime>
  <Pages>10</Pages>
  <Words>2485</Words>
  <Characters>14170</Characters>
  <Application>Microsoft Office Word</Application>
  <DocSecurity>0</DocSecurity>
  <Lines>118</Lines>
  <Paragraphs>33</Paragraphs>
  <ScaleCrop>false</ScaleCrop>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Шевцова Эльвира Григорьевна</dc:creator>
  <cp:keywords/>
  <dc:description/>
  <cp:lastModifiedBy>Шевцова Эльвира Григорьевна</cp:lastModifiedBy>
  <cp:revision>10</cp:revision>
  <dcterms:created xsi:type="dcterms:W3CDTF">2026-03-05T00:36:00Z</dcterms:created>
  <dcterms:modified xsi:type="dcterms:W3CDTF">2026-03-05T03:33:00Z</dcterms:modified>
</cp:coreProperties>
</file>